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2F" w:rsidRPr="00C62001" w:rsidRDefault="0027492F" w:rsidP="0027492F">
      <w:pPr>
        <w:keepNext/>
        <w:keepLines/>
        <w:spacing w:before="200" w:after="0" w:line="240" w:lineRule="auto"/>
        <w:outlineLvl w:val="6"/>
        <w:rPr>
          <w:rFonts w:ascii="Times New Roman" w:eastAsiaTheme="majorEastAsia" w:hAnsi="Times New Roman" w:cs="Times New Roman"/>
          <w:i/>
          <w:iCs/>
          <w:color w:val="404040" w:themeColor="text1" w:themeTint="BF"/>
          <w:sz w:val="24"/>
          <w:szCs w:val="24"/>
        </w:rPr>
      </w:pPr>
    </w:p>
    <w:tbl>
      <w:tblPr>
        <w:tblStyle w:val="MediumGrid3"/>
        <w:tblpPr w:leftFromText="180" w:rightFromText="180" w:vertAnchor="text" w:horzAnchor="margin" w:tblpY="536"/>
        <w:tblW w:w="0" w:type="auto"/>
        <w:tblLook w:val="04A0" w:firstRow="1" w:lastRow="0" w:firstColumn="1" w:lastColumn="0" w:noHBand="0" w:noVBand="1"/>
      </w:tblPr>
      <w:tblGrid>
        <w:gridCol w:w="3360"/>
        <w:gridCol w:w="3108"/>
        <w:gridCol w:w="3108"/>
      </w:tblGrid>
      <w:tr w:rsidR="0027492F" w:rsidRPr="00C62001" w:rsidTr="00EF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 xml:space="preserve">Drug Generic Name 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Dosage Regimen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Cost per day ($CAD)</w:t>
            </w:r>
          </w:p>
        </w:tc>
      </w:tr>
      <w:tr w:rsidR="0027492F" w:rsidRPr="00C62001" w:rsidTr="00EF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Carbamazepine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400 mg QID</w:t>
            </w:r>
          </w:p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400 mg CR BID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$0.60</w:t>
            </w:r>
          </w:p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$0.37</w:t>
            </w:r>
          </w:p>
        </w:tc>
      </w:tr>
      <w:tr w:rsidR="0027492F" w:rsidRPr="00C62001" w:rsidTr="00EF6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Divalproex</w:t>
            </w:r>
            <w:proofErr w:type="spellEnd"/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500 mg BID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$0.52</w:t>
            </w:r>
          </w:p>
        </w:tc>
      </w:tr>
      <w:tr w:rsidR="0027492F" w:rsidRPr="00C62001" w:rsidTr="00EF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Ethosuximide</w:t>
            </w:r>
            <w:proofErr w:type="spellEnd"/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500 mg BID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$1.35</w:t>
            </w:r>
          </w:p>
        </w:tc>
      </w:tr>
      <w:tr w:rsidR="0027492F" w:rsidRPr="00C62001" w:rsidTr="00EF6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Gapabentin</w:t>
            </w:r>
            <w:proofErr w:type="spellEnd"/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600 mg TID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$1.55</w:t>
            </w:r>
          </w:p>
        </w:tc>
      </w:tr>
      <w:tr w:rsidR="0027492F" w:rsidRPr="00C62001" w:rsidTr="00EF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Lacosamide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200 mg BID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$10.64</w:t>
            </w:r>
          </w:p>
        </w:tc>
      </w:tr>
      <w:tr w:rsidR="0027492F" w:rsidRPr="00C62001" w:rsidTr="00EF6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Lamotrigine</w:t>
            </w:r>
            <w:proofErr w:type="spellEnd"/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100 mg BID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$0.75</w:t>
            </w:r>
          </w:p>
        </w:tc>
      </w:tr>
      <w:tr w:rsidR="0027492F" w:rsidRPr="00C62001" w:rsidTr="00EF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Levetiracetam</w:t>
            </w:r>
            <w:proofErr w:type="spellEnd"/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500 mg BID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$3.00</w:t>
            </w:r>
          </w:p>
        </w:tc>
      </w:tr>
      <w:tr w:rsidR="0027492F" w:rsidRPr="00C62001" w:rsidTr="00EF6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Oxcarbazepine</w:t>
            </w:r>
            <w:proofErr w:type="spellEnd"/>
            <w:r w:rsidRPr="00C6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600 mg BID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$5.23</w:t>
            </w:r>
          </w:p>
        </w:tc>
      </w:tr>
      <w:tr w:rsidR="0027492F" w:rsidRPr="00C62001" w:rsidTr="00EF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Phenytoin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300 mg HS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$0.22</w:t>
            </w:r>
          </w:p>
        </w:tc>
      </w:tr>
      <w:tr w:rsidR="0027492F" w:rsidRPr="00C62001" w:rsidTr="00EF6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Topiramate</w:t>
            </w:r>
            <w:proofErr w:type="spellEnd"/>
            <w:r w:rsidRPr="00C6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100 mg BID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$1.19</w:t>
            </w:r>
          </w:p>
        </w:tc>
      </w:tr>
      <w:tr w:rsidR="0027492F" w:rsidRPr="00C62001" w:rsidTr="00EF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Valproic</w:t>
            </w:r>
            <w:proofErr w:type="spellEnd"/>
            <w:r w:rsidRPr="00C62001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500 mg BID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$0.83</w:t>
            </w:r>
          </w:p>
        </w:tc>
      </w:tr>
      <w:tr w:rsidR="0027492F" w:rsidRPr="00C62001" w:rsidTr="00EF6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27492F" w:rsidRPr="00C62001" w:rsidRDefault="0027492F" w:rsidP="00EF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Vigabatrin</w:t>
            </w:r>
            <w:proofErr w:type="spellEnd"/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1000 mg BID</w:t>
            </w:r>
          </w:p>
        </w:tc>
        <w:tc>
          <w:tcPr>
            <w:tcW w:w="3108" w:type="dxa"/>
          </w:tcPr>
          <w:p w:rsidR="0027492F" w:rsidRPr="00C62001" w:rsidRDefault="0027492F" w:rsidP="00EF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01">
              <w:rPr>
                <w:rFonts w:ascii="Times New Roman" w:hAnsi="Times New Roman" w:cs="Times New Roman"/>
                <w:sz w:val="24"/>
                <w:szCs w:val="24"/>
              </w:rPr>
              <w:t>$3.64</w:t>
            </w:r>
          </w:p>
        </w:tc>
      </w:tr>
    </w:tbl>
    <w:p w:rsidR="0027492F" w:rsidRPr="00C62001" w:rsidRDefault="0027492F" w:rsidP="00274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92F" w:rsidRPr="00C62001" w:rsidRDefault="0027492F" w:rsidP="0027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01">
        <w:rPr>
          <w:rFonts w:ascii="Times New Roman" w:hAnsi="Times New Roman" w:cs="Times New Roman"/>
          <w:sz w:val="24"/>
          <w:szCs w:val="24"/>
        </w:rPr>
        <w:t xml:space="preserve">*Costs based on Ontario Drug Benefit (ODB) Formulary (54), Common Drug Review (50) and </w:t>
      </w:r>
      <w:proofErr w:type="spellStart"/>
      <w:r w:rsidRPr="00C62001">
        <w:rPr>
          <w:rFonts w:ascii="Times New Roman" w:hAnsi="Times New Roman" w:cs="Times New Roman"/>
          <w:sz w:val="24"/>
          <w:szCs w:val="24"/>
        </w:rPr>
        <w:t>RxFiles</w:t>
      </w:r>
      <w:proofErr w:type="spellEnd"/>
      <w:r w:rsidRPr="00C62001">
        <w:rPr>
          <w:rFonts w:ascii="Times New Roman" w:hAnsi="Times New Roman" w:cs="Times New Roman"/>
          <w:sz w:val="24"/>
          <w:szCs w:val="24"/>
        </w:rPr>
        <w:t>(49) for generic products where available.</w:t>
      </w:r>
    </w:p>
    <w:p w:rsidR="0027492F" w:rsidRDefault="0027492F" w:rsidP="00274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001">
        <w:rPr>
          <w:rFonts w:ascii="Times New Roman" w:hAnsi="Times New Roman" w:cs="Times New Roman"/>
          <w:sz w:val="24"/>
          <w:szCs w:val="24"/>
        </w:rPr>
        <w:t>**None of the above “usual doses” (49) imply therapeutic or clinical equivalency</w:t>
      </w:r>
    </w:p>
    <w:p w:rsidR="0027492F" w:rsidRPr="0027492F" w:rsidRDefault="0027492F" w:rsidP="00274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AED = antiepileptic drugs</w:t>
      </w:r>
    </w:p>
    <w:sectPr w:rsidR="0027492F" w:rsidRPr="0027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2F"/>
    <w:rsid w:val="0027492F"/>
    <w:rsid w:val="003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2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">
    <w:name w:val="Medium Grid 3"/>
    <w:basedOn w:val="TableNormal"/>
    <w:uiPriority w:val="69"/>
    <w:rsid w:val="00274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2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">
    <w:name w:val="Medium Grid 3"/>
    <w:basedOn w:val="TableNormal"/>
    <w:uiPriority w:val="69"/>
    <w:rsid w:val="00274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Sawh</dc:creator>
  <cp:keywords/>
  <dc:description/>
  <cp:lastModifiedBy>Sonja Sawh</cp:lastModifiedBy>
  <cp:revision>1</cp:revision>
  <dcterms:created xsi:type="dcterms:W3CDTF">2013-05-23T16:43:00Z</dcterms:created>
  <dcterms:modified xsi:type="dcterms:W3CDTF">2013-05-23T16:48:00Z</dcterms:modified>
</cp:coreProperties>
</file>