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FB3483" w:rsidRPr="00D35EFD" w:rsidRDefault="00D35EFD" w:rsidP="005979B8">
            <w:pPr>
              <w:pStyle w:val="Default"/>
              <w:spacing w:before="40" w:after="40"/>
              <w:rPr>
                <w:rFonts w:ascii="Arial" w:hAnsi="Arial" w:cs="Arial"/>
                <w:color w:val="auto"/>
                <w:sz w:val="20"/>
                <w:szCs w:val="20"/>
              </w:rPr>
            </w:pPr>
            <w:r>
              <w:rPr>
                <w:rFonts w:ascii="Arial" w:hAnsi="Arial" w:cs="Arial"/>
                <w:color w:val="auto"/>
                <w:sz w:val="20"/>
                <w:szCs w:val="20"/>
              </w:rPr>
              <w:t>Title field in submission process</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FB3483" w:rsidRPr="00D35EFD" w:rsidRDefault="00D35EFD" w:rsidP="005979B8">
            <w:pPr>
              <w:pStyle w:val="Default"/>
              <w:spacing w:before="40" w:after="40"/>
              <w:rPr>
                <w:rFonts w:ascii="Arial" w:hAnsi="Arial" w:cs="Arial"/>
                <w:color w:val="auto"/>
                <w:sz w:val="20"/>
                <w:szCs w:val="20"/>
              </w:rPr>
            </w:pPr>
            <w:r w:rsidRPr="00D35EFD">
              <w:rPr>
                <w:rFonts w:ascii="Arial" w:hAnsi="Arial" w:cs="Arial"/>
                <w:color w:val="auto"/>
                <w:sz w:val="20"/>
                <w:szCs w:val="20"/>
              </w:rPr>
              <w:t>Abstract field in submission process</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4</w:t>
            </w:r>
          </w:p>
        </w:tc>
      </w:tr>
      <w:tr w:rsidR="00FB3483"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5,7, 8</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sidRPr="00D35EFD">
              <w:rPr>
                <w:rFonts w:ascii="Arial" w:hAnsi="Arial" w:cs="Arial"/>
                <w:color w:val="auto"/>
                <w:sz w:val="20"/>
                <w:szCs w:val="20"/>
              </w:rPr>
              <w:t>5</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See online protocol</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sidRPr="00D35EFD">
              <w:rPr>
                <w:rFonts w:ascii="Arial" w:hAnsi="Arial" w:cs="Arial"/>
                <w:color w:val="auto"/>
                <w:sz w:val="20"/>
                <w:szCs w:val="20"/>
              </w:rPr>
              <w:t>5</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sidRPr="00D35EFD">
              <w:rPr>
                <w:rFonts w:ascii="Arial" w:hAnsi="Arial" w:cs="Arial"/>
                <w:color w:val="auto"/>
                <w:sz w:val="20"/>
                <w:szCs w:val="20"/>
              </w:rPr>
              <w:t>See link to online protocol</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7</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7</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8</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9</w:t>
            </w:r>
          </w:p>
        </w:tc>
      </w:tr>
      <w:tr w:rsidR="00FB3483" w:rsidRPr="004C1685" w:rsidTr="005979B8">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lastRenderedPageBreak/>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9</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5979B8">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10</w:t>
            </w:r>
          </w:p>
        </w:tc>
      </w:tr>
      <w:tr w:rsidR="00FB3483"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10</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Figure 1</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Table 1</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Figure 2</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 xml:space="preserve">Figs 3 – 8, </w:t>
            </w:r>
            <w:proofErr w:type="spellStart"/>
            <w:r>
              <w:rPr>
                <w:rFonts w:ascii="Arial" w:hAnsi="Arial" w:cs="Arial"/>
                <w:color w:val="auto"/>
                <w:sz w:val="20"/>
                <w:szCs w:val="20"/>
              </w:rPr>
              <w:t>Suppl</w:t>
            </w:r>
            <w:proofErr w:type="spellEnd"/>
            <w:r>
              <w:rPr>
                <w:rFonts w:ascii="Arial" w:hAnsi="Arial" w:cs="Arial"/>
                <w:color w:val="auto"/>
                <w:sz w:val="20"/>
                <w:szCs w:val="20"/>
              </w:rPr>
              <w:t xml:space="preserve"> S3</w:t>
            </w:r>
          </w:p>
        </w:tc>
      </w:tr>
      <w:tr w:rsidR="00FB3483" w:rsidRPr="004C1685" w:rsidTr="005979B8">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14 -16</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17</w:t>
            </w:r>
          </w:p>
        </w:tc>
      </w:tr>
      <w:tr w:rsidR="00FB3483" w:rsidRPr="004C1685" w:rsidTr="005979B8">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17</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18-19</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19-20</w:t>
            </w:r>
          </w:p>
        </w:tc>
      </w:tr>
      <w:tr w:rsidR="00FB3483" w:rsidRPr="004C1685" w:rsidTr="005979B8">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20-21</w:t>
            </w:r>
          </w:p>
        </w:tc>
      </w:tr>
      <w:tr w:rsidR="00FB3483" w:rsidRPr="004C1685">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B3483" w:rsidRPr="00D35EFD" w:rsidRDefault="00D35EFD" w:rsidP="00D35EFD">
            <w:pPr>
              <w:pStyle w:val="Default"/>
              <w:spacing w:before="40" w:after="40"/>
              <w:jc w:val="center"/>
              <w:rPr>
                <w:rFonts w:ascii="Arial" w:hAnsi="Arial" w:cs="Arial"/>
                <w:color w:val="auto"/>
                <w:sz w:val="20"/>
                <w:szCs w:val="20"/>
              </w:rPr>
            </w:pPr>
            <w:r>
              <w:rPr>
                <w:rFonts w:ascii="Arial" w:hAnsi="Arial" w:cs="Arial"/>
                <w:color w:val="auto"/>
                <w:sz w:val="20"/>
                <w:szCs w:val="20"/>
              </w:rPr>
              <w:t>Submission field completed &amp; page 3</w:t>
            </w:r>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w:t>
      </w:r>
      <w:r w:rsidRPr="00363B8D">
        <w:rPr>
          <w:rFonts w:ascii="Arial" w:hAnsi="Arial" w:cs="Arial"/>
          <w:color w:val="auto"/>
          <w:sz w:val="16"/>
          <w:szCs w:val="16"/>
          <w:lang w:val="da-DK"/>
        </w:rPr>
        <w:lastRenderedPageBreak/>
        <w:t xml:space="preserve">doi:10.1371/journal.pmed1000097 </w:t>
      </w:r>
    </w:p>
    <w:p w:rsidR="00FB3483" w:rsidRPr="00D35EFD" w:rsidRDefault="00FB3483" w:rsidP="00D35EFD">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00D35EFD">
        <w:rPr>
          <w:rFonts w:ascii="Arial" w:hAnsi="Arial" w:cs="Arial"/>
          <w:color w:val="000000"/>
          <w:sz w:val="18"/>
          <w:szCs w:val="18"/>
          <w:lang w:val="da-DK"/>
        </w:rPr>
        <w:t>.</w:t>
      </w:r>
      <w:bookmarkStart w:id="0" w:name="_GoBack"/>
      <w:bookmarkEnd w:id="0"/>
    </w:p>
    <w:sectPr w:rsidR="00FB3483" w:rsidRPr="00D35EFD"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07" w:rsidRDefault="00947707">
      <w:r>
        <w:separator/>
      </w:r>
    </w:p>
  </w:endnote>
  <w:endnote w:type="continuationSeparator" w:id="0">
    <w:p w:rsidR="00947707" w:rsidRDefault="009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07" w:rsidRDefault="00947707">
      <w:r>
        <w:separator/>
      </w:r>
    </w:p>
  </w:footnote>
  <w:footnote w:type="continuationSeparator" w:id="0">
    <w:p w:rsidR="00947707" w:rsidRDefault="00947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4C1685" w:rsidRDefault="00947707" w:rsidP="00E324A8">
    <w:pPr>
      <w:pStyle w:val="CM2"/>
      <w:ind w:left="1080"/>
      <w:rPr>
        <w:rFonts w:ascii="Lucida Sans" w:hAnsi="Lucida Sans"/>
      </w:rPr>
    </w:pPr>
    <w:r w:rsidRPr="004C1685">
      <w:rPr>
        <w:rFonts w:ascii="Lucida Sans" w:hAnsi="Lucida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246C93"/>
    <w:rsid w:val="00256BAF"/>
    <w:rsid w:val="002A2A06"/>
    <w:rsid w:val="00363B8D"/>
    <w:rsid w:val="003B79FF"/>
    <w:rsid w:val="00400A0B"/>
    <w:rsid w:val="004C1685"/>
    <w:rsid w:val="00550BF1"/>
    <w:rsid w:val="0059028D"/>
    <w:rsid w:val="005979B8"/>
    <w:rsid w:val="008E2C91"/>
    <w:rsid w:val="00947707"/>
    <w:rsid w:val="00AE3757"/>
    <w:rsid w:val="00D35EFD"/>
    <w:rsid w:val="00E324A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40DCB4D3-BD27-4F38-AEF8-76BC5DEB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Sonja Sawh</cp:lastModifiedBy>
  <cp:revision>3</cp:revision>
  <dcterms:created xsi:type="dcterms:W3CDTF">2013-05-27T21:11:00Z</dcterms:created>
  <dcterms:modified xsi:type="dcterms:W3CDTF">2013-05-27T21:21:00Z</dcterms:modified>
</cp:coreProperties>
</file>