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8E" w:rsidRPr="00A122D2" w:rsidRDefault="000B198E" w:rsidP="007F69E8">
      <w:pPr>
        <w:sectPr w:rsidR="000B198E" w:rsidRPr="00A122D2">
          <w:footerReference w:type="even" r:id="rId7"/>
          <w:footerReference w:type="default" r:id="rId8"/>
          <w:pgSz w:w="12240" w:h="15840"/>
          <w:pgMar w:top="1440" w:right="1800" w:bottom="1440" w:left="1800" w:header="720" w:footer="720" w:gutter="0"/>
          <w:pgNumType w:start="20"/>
          <w:cols w:space="720"/>
        </w:sectPr>
      </w:pPr>
    </w:p>
    <w:p w:rsidR="000B198E" w:rsidRDefault="00481136" w:rsidP="00947850">
      <w:pPr>
        <w:jc w:val="center"/>
      </w:pPr>
      <w:proofErr w:type="gramStart"/>
      <w:r>
        <w:rPr>
          <w:b/>
        </w:rPr>
        <w:lastRenderedPageBreak/>
        <w:t>Supplemental a</w:t>
      </w:r>
      <w:r w:rsidR="000B198E" w:rsidRPr="007E7C86">
        <w:rPr>
          <w:b/>
        </w:rPr>
        <w:t xml:space="preserve">ppendix </w:t>
      </w:r>
      <w:r>
        <w:rPr>
          <w:b/>
        </w:rPr>
        <w:t>S</w:t>
      </w:r>
      <w:r w:rsidR="009C3D03">
        <w:rPr>
          <w:b/>
        </w:rPr>
        <w:t>2</w:t>
      </w:r>
      <w:r w:rsidR="000B198E" w:rsidRPr="007E7C86">
        <w:rPr>
          <w:b/>
        </w:rPr>
        <w:t>.</w:t>
      </w:r>
      <w:proofErr w:type="gramEnd"/>
      <w:r w:rsidR="000B198E" w:rsidRPr="007E7C86">
        <w:rPr>
          <w:b/>
        </w:rPr>
        <w:t xml:space="preserve"> Simulation of Dynamics</w:t>
      </w:r>
    </w:p>
    <w:p w:rsidR="000B198E" w:rsidRDefault="000B198E"/>
    <w:p w:rsidR="000B198E" w:rsidRDefault="000B198E" w:rsidP="00947850">
      <w:pPr>
        <w:spacing w:line="480" w:lineRule="auto"/>
      </w:pPr>
      <w:r>
        <w:t>This appendix presents the results of simulations of the dynamics of 50 species in 20 patches to demonstrate coexistence of only two species is possible for both linear and saturating resource dependent growth functions and for large variation in resource supply rates.</w:t>
      </w:r>
    </w:p>
    <w:p w:rsidR="000B198E" w:rsidRDefault="000B198E" w:rsidP="00947850">
      <w:pPr>
        <w:spacing w:line="480" w:lineRule="auto"/>
      </w:pPr>
      <w:bookmarkStart w:id="0" w:name="_GoBack"/>
      <w:bookmarkEnd w:id="0"/>
    </w:p>
    <w:p w:rsidR="000B198E" w:rsidRDefault="000B198E" w:rsidP="00947850">
      <w:pPr>
        <w:spacing w:line="480" w:lineRule="auto"/>
      </w:pPr>
      <w:r>
        <w:t xml:space="preserve"> For the simulations, supply rates were selected at random from a log-normal distribution (</w:t>
      </w:r>
      <w:r w:rsidRPr="000B4E55">
        <w:rPr>
          <w:position w:val="-10"/>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pt;height:13pt" o:ole="">
            <v:imagedata r:id="rId9" o:title=""/>
          </v:shape>
          <o:OLEObject Type="Embed" ProgID="Equation.DSMT4" ShapeID="_x0000_i1042" DrawAspect="Content" ObjectID="_1435049847" r:id="rId10"/>
        </w:object>
      </w:r>
      <w:r>
        <w:t xml:space="preserve">=1, </w:t>
      </w:r>
      <w:r w:rsidRPr="000B4E55">
        <w:rPr>
          <w:position w:val="-6"/>
        </w:rPr>
        <w:object w:dxaOrig="240" w:dyaOrig="220">
          <v:shape id="_x0000_i1043" type="#_x0000_t75" style="width:12pt;height:11pt" o:ole="">
            <v:imagedata r:id="rId11" o:title=""/>
          </v:shape>
          <o:OLEObject Type="Embed" ProgID="Equation.DSMT4" ShapeID="_x0000_i1043" DrawAspect="Content" ObjectID="_1435049848" r:id="rId12"/>
        </w:object>
      </w:r>
      <w:r>
        <w:t xml:space="preserve">=1.5). Species specific parameters were assigned so that there is a linear tradeoff between dispersal and competitive ability, such that species that retain a higher proportion of offspring in the natal patch (higher </w:t>
      </w:r>
      <w:r w:rsidRPr="000B4E55">
        <w:rPr>
          <w:i/>
        </w:rPr>
        <w:t>p</w:t>
      </w:r>
      <w:r>
        <w:t xml:space="preserve">) have higher </w:t>
      </w:r>
      <w:r w:rsidRPr="000B4E55">
        <w:rPr>
          <w:i/>
        </w:rPr>
        <w:t>R</w:t>
      </w:r>
      <w:r w:rsidRPr="000B4E55">
        <w:rPr>
          <w:i/>
          <w:vertAlign w:val="superscript"/>
        </w:rPr>
        <w:t>*</w:t>
      </w:r>
      <w:r>
        <w:t xml:space="preserve">.  For the case of linear growth functions, eqns 3 from the main text were simulated with </w:t>
      </w:r>
      <w:r w:rsidRPr="000B4E55">
        <w:rPr>
          <w:i/>
        </w:rPr>
        <w:t>m</w:t>
      </w:r>
      <w:r>
        <w:t xml:space="preserve">=.2, </w:t>
      </w:r>
      <w:r w:rsidRPr="000B4E55">
        <w:rPr>
          <w:i/>
        </w:rPr>
        <w:t>Q</w:t>
      </w:r>
      <w:r>
        <w:t xml:space="preserve">=0.5 for all species, </w:t>
      </w:r>
      <w:r w:rsidRPr="000B4E55">
        <w:rPr>
          <w:i/>
        </w:rPr>
        <w:t>p</w:t>
      </w:r>
      <w:r w:rsidRPr="000B4E55">
        <w:rPr>
          <w:i/>
          <w:vertAlign w:val="subscript"/>
        </w:rPr>
        <w:t>i</w:t>
      </w:r>
      <w:r>
        <w:t>=</w:t>
      </w:r>
      <w:proofErr w:type="spellStart"/>
      <w:r w:rsidRPr="00947850">
        <w:rPr>
          <w:i/>
        </w:rPr>
        <w:t>i</w:t>
      </w:r>
      <w:proofErr w:type="spellEnd"/>
      <w:r w:rsidRPr="00947850">
        <w:rPr>
          <w:i/>
        </w:rPr>
        <w:t>/</w:t>
      </w:r>
      <w:proofErr w:type="spellStart"/>
      <w:r w:rsidRPr="00947850">
        <w:rPr>
          <w:i/>
        </w:rPr>
        <w:t>n</w:t>
      </w:r>
      <w:r w:rsidRPr="00947850">
        <w:rPr>
          <w:i/>
          <w:vertAlign w:val="subscript"/>
        </w:rPr>
        <w:t>sp</w:t>
      </w:r>
      <w:proofErr w:type="spellEnd"/>
      <w:r>
        <w:t xml:space="preserve"> and </w:t>
      </w:r>
      <w:r w:rsidR="008F0F97" w:rsidRPr="008F0F97">
        <w:rPr>
          <w:i/>
        </w:rPr>
        <w:t>b</w:t>
      </w:r>
      <w:r w:rsidRPr="000B4E55">
        <w:rPr>
          <w:i/>
          <w:vertAlign w:val="subscript"/>
        </w:rPr>
        <w:t>i</w:t>
      </w:r>
      <w:r>
        <w:t>=</w:t>
      </w:r>
      <w:r w:rsidRPr="000B4E55">
        <w:rPr>
          <w:i/>
        </w:rPr>
        <w:t>m</w:t>
      </w:r>
      <w:r w:rsidRPr="000B4E55">
        <w:rPr>
          <w:i/>
          <w:vertAlign w:val="subscript"/>
        </w:rPr>
        <w:t>i</w:t>
      </w:r>
      <w:proofErr w:type="gramStart"/>
      <w:r w:rsidRPr="00947850">
        <w:rPr>
          <w:i/>
        </w:rPr>
        <w:t>/(</w:t>
      </w:r>
      <w:proofErr w:type="gramEnd"/>
      <w:r w:rsidRPr="00947850">
        <w:rPr>
          <w:i/>
        </w:rPr>
        <w:t>1+p</w:t>
      </w:r>
      <w:r w:rsidRPr="00947850">
        <w:rPr>
          <w:i/>
          <w:vertAlign w:val="subscript"/>
        </w:rPr>
        <w:t>i</w:t>
      </w:r>
      <w:r w:rsidRPr="00947850">
        <w:rPr>
          <w:i/>
        </w:rPr>
        <w:t>),</w:t>
      </w:r>
      <w:r>
        <w:t xml:space="preserve"> number of species, </w:t>
      </w:r>
      <w:r w:rsidRPr="00947850">
        <w:rPr>
          <w:i/>
        </w:rPr>
        <w:t>n</w:t>
      </w:r>
      <w:r w:rsidRPr="00947850">
        <w:rPr>
          <w:i/>
          <w:vertAlign w:val="subscript"/>
        </w:rPr>
        <w:t>sp</w:t>
      </w:r>
      <w:r>
        <w:t xml:space="preserve"> = 50  (Figure </w:t>
      </w:r>
      <w:r w:rsidR="0067543B">
        <w:t>B</w:t>
      </w:r>
      <w:r>
        <w:t xml:space="preserve">2). </w:t>
      </w:r>
    </w:p>
    <w:p w:rsidR="000B198E" w:rsidRDefault="000B198E" w:rsidP="00947850">
      <w:pPr>
        <w:spacing w:line="480" w:lineRule="auto"/>
      </w:pPr>
    </w:p>
    <w:p w:rsidR="000B198E" w:rsidRDefault="000B198E" w:rsidP="00947850">
      <w:pPr>
        <w:spacing w:line="480" w:lineRule="auto"/>
      </w:pPr>
      <w:r>
        <w:t xml:space="preserve">Figure </w:t>
      </w:r>
      <w:r w:rsidR="0067543B">
        <w:t>B</w:t>
      </w:r>
      <w:r>
        <w:t xml:space="preserve">1 shows that at equilibrium, all but two species go extinct (represented by blue and green lines).  The surviving species are those that occupy the ends of the tradeoff spectrum shown in Figure </w:t>
      </w:r>
      <w:r w:rsidR="0067543B">
        <w:t>B</w:t>
      </w:r>
      <w:r>
        <w:t xml:space="preserve">2 as large points.  The green line represents a species that experiences the least interpatch dispersal and has the highest </w:t>
      </w:r>
      <w:r w:rsidRPr="000B4E55">
        <w:rPr>
          <w:i/>
        </w:rPr>
        <w:t>R</w:t>
      </w:r>
      <w:r w:rsidRPr="000B4E55">
        <w:rPr>
          <w:i/>
          <w:vertAlign w:val="superscript"/>
        </w:rPr>
        <w:t>*</w:t>
      </w:r>
      <w:r>
        <w:t xml:space="preserve">. The blue line represents the species that experiences the most interpatch dispersal and has the lowest </w:t>
      </w:r>
      <w:r w:rsidRPr="000B4E55">
        <w:rPr>
          <w:i/>
        </w:rPr>
        <w:t>R</w:t>
      </w:r>
      <w:r w:rsidRPr="000B4E55">
        <w:rPr>
          <w:i/>
          <w:vertAlign w:val="superscript"/>
        </w:rPr>
        <w:t>*</w:t>
      </w:r>
      <w:r>
        <w:t>.  These results are consistent with the invasion analysis presented in the Figure 2, which shows that a system of patches inhabited by two resident species, one at either end of the tradeoff spectrum is uninvasible by a species with an intermediate strategy.</w:t>
      </w:r>
    </w:p>
    <w:p w:rsidR="000B198E" w:rsidRDefault="000B198E" w:rsidP="00947850">
      <w:pPr>
        <w:spacing w:line="480" w:lineRule="auto"/>
      </w:pPr>
    </w:p>
    <w:p w:rsidR="000B198E" w:rsidRDefault="000B198E" w:rsidP="00947850">
      <w:pPr>
        <w:spacing w:line="480" w:lineRule="auto"/>
      </w:pPr>
      <w:r>
        <w:lastRenderedPageBreak/>
        <w:t xml:space="preserve">Figure </w:t>
      </w:r>
      <w:r w:rsidR="0067543B">
        <w:t>B</w:t>
      </w:r>
      <w:r>
        <w:t xml:space="preserve">3 shows simulations of dynamics of species whose growth is a saturating function of resource concentration </w:t>
      </w:r>
      <w:r w:rsidR="00A210BA">
        <w:t xml:space="preserve">and resources are lost at a proportional rate </w:t>
      </w:r>
      <w:proofErr w:type="spellStart"/>
      <w:r w:rsidR="00A210BA" w:rsidRPr="00A210BA">
        <w:rPr>
          <w:i/>
        </w:rPr>
        <w:t>a</w:t>
      </w:r>
      <w:r w:rsidR="00A210BA">
        <w:rPr>
          <w:i/>
        </w:rPr>
        <w:t>R</w:t>
      </w:r>
      <w:r w:rsidR="00A210BA" w:rsidRPr="00A210BA">
        <w:rPr>
          <w:i/>
          <w:vertAlign w:val="subscript"/>
        </w:rPr>
        <w:t>x</w:t>
      </w:r>
      <w:proofErr w:type="spellEnd"/>
      <w:r w:rsidR="00A210BA">
        <w:t xml:space="preserve">, </w:t>
      </w:r>
      <w:r>
        <w:t>resulting in the system</w:t>
      </w:r>
    </w:p>
    <w:p w:rsidR="000B198E" w:rsidRDefault="000B198E" w:rsidP="00947850">
      <w:pPr>
        <w:pStyle w:val="MTDisplayEquation"/>
        <w:spacing w:line="480" w:lineRule="auto"/>
      </w:pPr>
      <w:r>
        <w:tab/>
      </w:r>
      <w:r w:rsidR="00A210BA" w:rsidRPr="00A210BA">
        <w:rPr>
          <w:position w:val="-102"/>
        </w:rPr>
        <w:object w:dxaOrig="5120" w:dyaOrig="2100">
          <v:shape id="_x0000_i1044" type="#_x0000_t75" style="width:256pt;height:105pt" o:ole="">
            <v:imagedata r:id="rId13" o:title=""/>
          </v:shape>
          <o:OLEObject Type="Embed" ProgID="Equation.DSMT4" ShapeID="_x0000_i1044" DrawAspect="Content" ObjectID="_1435049849" r:id="rId14"/>
        </w:object>
      </w:r>
      <w:r>
        <w:tab/>
      </w:r>
      <w:r w:rsidR="0067543B">
        <w:t>(B.1)</w:t>
      </w:r>
    </w:p>
    <w:p w:rsidR="000B198E" w:rsidRPr="0029776F" w:rsidRDefault="000B198E" w:rsidP="00947850">
      <w:pPr>
        <w:spacing w:line="480" w:lineRule="auto"/>
      </w:pPr>
    </w:p>
    <w:p w:rsidR="000B198E" w:rsidRDefault="000B198E" w:rsidP="00947850">
      <w:pPr>
        <w:spacing w:line="480" w:lineRule="auto"/>
      </w:pPr>
      <w:r>
        <w:t xml:space="preserve">For these simulations, </w:t>
      </w:r>
      <w:r w:rsidR="00A210BA" w:rsidRPr="00A210BA">
        <w:rPr>
          <w:i/>
        </w:rPr>
        <w:t>a=1</w:t>
      </w:r>
      <w:r w:rsidR="00A210BA">
        <w:t xml:space="preserve">, </w:t>
      </w:r>
      <w:r w:rsidRPr="000B4E55">
        <w:rPr>
          <w:i/>
        </w:rPr>
        <w:t>m</w:t>
      </w:r>
      <w:r>
        <w:t xml:space="preserve">=4, </w:t>
      </w:r>
      <w:r w:rsidRPr="000B4E55">
        <w:rPr>
          <w:i/>
        </w:rPr>
        <w:t>Q</w:t>
      </w:r>
      <w:r>
        <w:t xml:space="preserve">=0.5, </w:t>
      </w:r>
      <w:r w:rsidRPr="000B4E55">
        <w:rPr>
          <w:i/>
        </w:rPr>
        <w:sym w:font="Symbol" w:char="F06D"/>
      </w:r>
      <w:r w:rsidRPr="000B4E55">
        <w:rPr>
          <w:i/>
          <w:vertAlign w:val="subscript"/>
        </w:rPr>
        <w:t>max</w:t>
      </w:r>
      <w:r>
        <w:t xml:space="preserve">=2, </w:t>
      </w:r>
      <w:r w:rsidRPr="000B4E55">
        <w:rPr>
          <w:i/>
        </w:rPr>
        <w:t>p</w:t>
      </w:r>
      <w:r w:rsidRPr="000B4E55">
        <w:rPr>
          <w:i/>
          <w:vertAlign w:val="subscript"/>
        </w:rPr>
        <w:t>i</w:t>
      </w:r>
      <w:r>
        <w:t>=</w:t>
      </w:r>
      <w:proofErr w:type="spellStart"/>
      <w:r>
        <w:t>i</w:t>
      </w:r>
      <w:proofErr w:type="spellEnd"/>
      <w:r>
        <w:t>/</w:t>
      </w:r>
      <w:proofErr w:type="spellStart"/>
      <w:r>
        <w:t>n</w:t>
      </w:r>
      <w:r w:rsidRPr="0029776F">
        <w:rPr>
          <w:vertAlign w:val="subscript"/>
        </w:rPr>
        <w:t>sp</w:t>
      </w:r>
      <w:proofErr w:type="spellEnd"/>
      <w:proofErr w:type="gramStart"/>
      <w:r>
        <w:t xml:space="preserve">, </w:t>
      </w:r>
      <w:proofErr w:type="gramEnd"/>
      <w:r w:rsidRPr="0029776F">
        <w:rPr>
          <w:position w:val="-24"/>
        </w:rPr>
        <w:object w:dxaOrig="2360" w:dyaOrig="620">
          <v:shape id="_x0000_i1045" type="#_x0000_t75" style="width:118pt;height:31pt" o:ole="">
            <v:imagedata r:id="rId15" o:title=""/>
          </v:shape>
          <o:OLEObject Type="Embed" ProgID="Equation.DSMT4" ShapeID="_x0000_i1045" DrawAspect="Content" ObjectID="_1435049850" r:id="rId16"/>
        </w:object>
      </w:r>
      <w:r>
        <w:t xml:space="preserve">.  This again results in a linear tradeoff between dispersal and </w:t>
      </w:r>
      <w:r w:rsidRPr="000B4E55">
        <w:rPr>
          <w:i/>
        </w:rPr>
        <w:t>R</w:t>
      </w:r>
      <w:r w:rsidRPr="000B4E55">
        <w:rPr>
          <w:i/>
          <w:vertAlign w:val="superscript"/>
        </w:rPr>
        <w:t>*</w:t>
      </w:r>
      <w:r w:rsidRPr="0029776F">
        <w:rPr>
          <w:vertAlign w:val="superscript"/>
        </w:rPr>
        <w:t xml:space="preserve"> </w:t>
      </w:r>
      <w:r w:rsidRPr="0029776F">
        <w:t xml:space="preserve">(Figure </w:t>
      </w:r>
      <w:r w:rsidR="0067543B">
        <w:t>B</w:t>
      </w:r>
      <w:r w:rsidRPr="0029776F">
        <w:t>4).  As with the linear growth response, only two species coexist at equilibrium.  Those that coexist inhabit either end of the tradeoff spectrum.  No further coexistence was possible by allowing non-linear tradeoffs between dispersal and competition.</w:t>
      </w:r>
    </w:p>
    <w:p w:rsidR="000B198E" w:rsidRDefault="007F69E8" w:rsidP="00947850">
      <w:pPr>
        <w:spacing w:line="480" w:lineRule="auto"/>
      </w:pPr>
      <w:r>
        <w:rPr>
          <w:noProof/>
        </w:rPr>
        <w:lastRenderedPageBreak/>
        <w:drawing>
          <wp:inline distT="0" distB="0" distL="0" distR="0">
            <wp:extent cx="5461000" cy="4337050"/>
            <wp:effectExtent l="0" t="0" r="6350" b="6350"/>
            <wp:docPr id="22" name="Picture 22" descr="OikosNew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ikosNewPl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0" cy="4337050"/>
                    </a:xfrm>
                    <a:prstGeom prst="rect">
                      <a:avLst/>
                    </a:prstGeom>
                    <a:noFill/>
                    <a:ln>
                      <a:noFill/>
                    </a:ln>
                  </pic:spPr>
                </pic:pic>
              </a:graphicData>
            </a:graphic>
          </wp:inline>
        </w:drawing>
      </w:r>
    </w:p>
    <w:p w:rsidR="000B198E" w:rsidRDefault="000B198E">
      <w:r>
        <w:t xml:space="preserve">Figure </w:t>
      </w:r>
      <w:r w:rsidR="0067543B">
        <w:t>B</w:t>
      </w:r>
      <w:r>
        <w:t>1.  Simulation of Dynamics of eqns 3 for 50 species in 20 patches.  Species experience a linear tradeoff between dispersal (</w:t>
      </w:r>
      <w:r w:rsidRPr="007E7C86">
        <w:rPr>
          <w:i/>
        </w:rPr>
        <w:t>p</w:t>
      </w:r>
      <w:r w:rsidRPr="007E7C86">
        <w:rPr>
          <w:i/>
          <w:vertAlign w:val="subscript"/>
        </w:rPr>
        <w:t>i</w:t>
      </w:r>
      <w:r>
        <w:t>) and competitive ability (</w:t>
      </w:r>
      <w:r w:rsidRPr="007E7C86">
        <w:rPr>
          <w:i/>
        </w:rPr>
        <w:t>R</w:t>
      </w:r>
      <w:r w:rsidRPr="007E7C86">
        <w:rPr>
          <w:i/>
          <w:vertAlign w:val="superscript"/>
        </w:rPr>
        <w:t>*</w:t>
      </w:r>
      <w:r>
        <w:t>).</w:t>
      </w:r>
    </w:p>
    <w:p w:rsidR="000B198E" w:rsidRDefault="007F69E8">
      <w:r>
        <w:rPr>
          <w:noProof/>
        </w:rPr>
        <w:lastRenderedPageBreak/>
        <w:drawing>
          <wp:inline distT="0" distB="0" distL="0" distR="0">
            <wp:extent cx="5448300" cy="3530600"/>
            <wp:effectExtent l="0" t="0" r="0" b="0"/>
            <wp:docPr id="23" name="Picture 23" descr="OikosMani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ikosManifo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3530600"/>
                    </a:xfrm>
                    <a:prstGeom prst="rect">
                      <a:avLst/>
                    </a:prstGeom>
                    <a:noFill/>
                    <a:ln>
                      <a:noFill/>
                    </a:ln>
                  </pic:spPr>
                </pic:pic>
              </a:graphicData>
            </a:graphic>
          </wp:inline>
        </w:drawing>
      </w:r>
    </w:p>
    <w:p w:rsidR="000B198E" w:rsidRDefault="000B198E" w:rsidP="00947850">
      <w:r>
        <w:t xml:space="preserve">Figure </w:t>
      </w:r>
      <w:r w:rsidR="0067543B">
        <w:t>B</w:t>
      </w:r>
      <w:r>
        <w:t>2.  Tradeoff manifold for species in simulations.  Large colored dots at either end show position of species that coexist at equilibrium.</w:t>
      </w:r>
    </w:p>
    <w:p w:rsidR="000B198E" w:rsidRDefault="000B198E"/>
    <w:p w:rsidR="000B198E" w:rsidRDefault="007F69E8">
      <w:r>
        <w:rPr>
          <w:noProof/>
        </w:rPr>
        <w:lastRenderedPageBreak/>
        <w:drawing>
          <wp:inline distT="0" distB="0" distL="0" distR="0">
            <wp:extent cx="5461000" cy="4337050"/>
            <wp:effectExtent l="0" t="0" r="6350" b="6350"/>
            <wp:docPr id="24" name="Picture 24" descr="OikosNewPl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ikosNewPlot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1000" cy="4337050"/>
                    </a:xfrm>
                    <a:prstGeom prst="rect">
                      <a:avLst/>
                    </a:prstGeom>
                    <a:noFill/>
                    <a:ln>
                      <a:noFill/>
                    </a:ln>
                  </pic:spPr>
                </pic:pic>
              </a:graphicData>
            </a:graphic>
          </wp:inline>
        </w:drawing>
      </w:r>
    </w:p>
    <w:p w:rsidR="000B198E" w:rsidRDefault="000B198E"/>
    <w:p w:rsidR="000B198E" w:rsidRDefault="000B198E">
      <w:r w:rsidRPr="00A122D2">
        <w:t xml:space="preserve">Figure </w:t>
      </w:r>
      <w:r w:rsidR="0067543B">
        <w:t>B</w:t>
      </w:r>
      <w:r w:rsidRPr="00A122D2">
        <w:t xml:space="preserve">3. </w:t>
      </w:r>
      <w:r>
        <w:t xml:space="preserve">Simulation of Dynamics of eqns. </w:t>
      </w:r>
      <w:r w:rsidR="0067543B">
        <w:t>B</w:t>
      </w:r>
      <w:r>
        <w:t>.1 for 50 species in 20 patches.  Species experience a linear tradeoff between dispersal (</w:t>
      </w:r>
      <w:r w:rsidRPr="007E7C86">
        <w:rPr>
          <w:i/>
        </w:rPr>
        <w:t>p</w:t>
      </w:r>
      <w:r w:rsidRPr="007E7C86">
        <w:rPr>
          <w:i/>
          <w:vertAlign w:val="subscript"/>
        </w:rPr>
        <w:t>i</w:t>
      </w:r>
      <w:r>
        <w:t>) and competitive ability (</w:t>
      </w:r>
      <w:r w:rsidRPr="007E7C86">
        <w:rPr>
          <w:i/>
        </w:rPr>
        <w:t>R</w:t>
      </w:r>
      <w:r w:rsidRPr="007E7C86">
        <w:rPr>
          <w:i/>
          <w:vertAlign w:val="superscript"/>
        </w:rPr>
        <w:t>*</w:t>
      </w:r>
      <w:r>
        <w:t>).</w:t>
      </w:r>
    </w:p>
    <w:p w:rsidR="000B198E" w:rsidRPr="00A122D2" w:rsidRDefault="000B198E" w:rsidP="00947850">
      <w:pPr>
        <w:spacing w:line="480" w:lineRule="auto"/>
      </w:pPr>
    </w:p>
    <w:sectPr w:rsidR="000B198E" w:rsidRPr="00A122D2" w:rsidSect="006D64BE">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8E" w:rsidRDefault="000B198E" w:rsidP="000B198E">
      <w:r>
        <w:separator/>
      </w:r>
    </w:p>
  </w:endnote>
  <w:endnote w:type="continuationSeparator" w:id="0">
    <w:p w:rsidR="000B198E" w:rsidRDefault="000B198E" w:rsidP="000B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8E" w:rsidRDefault="00E46C0D" w:rsidP="00947850">
    <w:pPr>
      <w:pStyle w:val="Footer"/>
      <w:framePr w:wrap="around" w:vAnchor="text" w:hAnchor="margin" w:xAlign="center" w:y="1"/>
      <w:rPr>
        <w:rStyle w:val="PageNumber"/>
      </w:rPr>
    </w:pPr>
    <w:r>
      <w:rPr>
        <w:rStyle w:val="PageNumber"/>
      </w:rPr>
      <w:fldChar w:fldCharType="begin"/>
    </w:r>
    <w:r w:rsidR="000B198E">
      <w:rPr>
        <w:rStyle w:val="PageNumber"/>
      </w:rPr>
      <w:instrText xml:space="preserve">PAGE  </w:instrText>
    </w:r>
    <w:r>
      <w:rPr>
        <w:rStyle w:val="PageNumber"/>
      </w:rPr>
      <w:fldChar w:fldCharType="separate"/>
    </w:r>
    <w:r w:rsidR="000B198E">
      <w:rPr>
        <w:rStyle w:val="PageNumber"/>
        <w:noProof/>
      </w:rPr>
      <w:t>24</w:t>
    </w:r>
    <w:r>
      <w:rPr>
        <w:rStyle w:val="PageNumber"/>
      </w:rPr>
      <w:fldChar w:fldCharType="end"/>
    </w:r>
  </w:p>
  <w:p w:rsidR="000B198E" w:rsidRDefault="000B1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E8" w:rsidRDefault="007F69E8">
    <w:pPr>
      <w:pStyle w:val="Footer"/>
      <w:jc w:val="center"/>
    </w:pPr>
    <w:r>
      <w:fldChar w:fldCharType="begin"/>
    </w:r>
    <w:r>
      <w:instrText xml:space="preserve"> PAGE   \* MERGEFORMAT </w:instrText>
    </w:r>
    <w:r>
      <w:fldChar w:fldCharType="separate"/>
    </w:r>
    <w:r w:rsidR="006D64BE">
      <w:rPr>
        <w:noProof/>
      </w:rPr>
      <w:t>20</w:t>
    </w:r>
    <w:r>
      <w:rPr>
        <w:noProof/>
      </w:rPr>
      <w:fldChar w:fldCharType="end"/>
    </w:r>
  </w:p>
  <w:p w:rsidR="000B198E" w:rsidRDefault="000B1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8E" w:rsidRDefault="000B198E" w:rsidP="000B198E">
      <w:r>
        <w:separator/>
      </w:r>
    </w:p>
  </w:footnote>
  <w:footnote w:type="continuationSeparator" w:id="0">
    <w:p w:rsidR="000B198E" w:rsidRDefault="000B198E" w:rsidP="000B1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C9"/>
    <w:rsid w:val="00011DC2"/>
    <w:rsid w:val="000A2595"/>
    <w:rsid w:val="000B198E"/>
    <w:rsid w:val="000B4E55"/>
    <w:rsid w:val="0029776F"/>
    <w:rsid w:val="002F47C9"/>
    <w:rsid w:val="00481136"/>
    <w:rsid w:val="005F1E1E"/>
    <w:rsid w:val="0067543B"/>
    <w:rsid w:val="006D64BE"/>
    <w:rsid w:val="007266C5"/>
    <w:rsid w:val="007526BB"/>
    <w:rsid w:val="0077463D"/>
    <w:rsid w:val="007E7C86"/>
    <w:rsid w:val="007F69E8"/>
    <w:rsid w:val="008F0F97"/>
    <w:rsid w:val="00947850"/>
    <w:rsid w:val="009C3D03"/>
    <w:rsid w:val="00A01E39"/>
    <w:rsid w:val="00A122D2"/>
    <w:rsid w:val="00A210BA"/>
    <w:rsid w:val="00A94528"/>
    <w:rsid w:val="00AD69FB"/>
    <w:rsid w:val="00BA2AC0"/>
    <w:rsid w:val="00CD04D5"/>
    <w:rsid w:val="00E219CA"/>
    <w:rsid w:val="00E46C0D"/>
    <w:rsid w:val="00F62406"/>
    <w:rsid w:val="00FC13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uiPriority w:val="99"/>
    <w:rsid w:val="00FC13D9"/>
    <w:rPr>
      <w:rFonts w:cs="Times New Roman"/>
      <w:vanish/>
      <w:color w:val="FF0000"/>
    </w:rPr>
  </w:style>
  <w:style w:type="paragraph" w:customStyle="1" w:styleId="MTDisplayEquation">
    <w:name w:val="MTDisplayEquation"/>
    <w:basedOn w:val="Normal"/>
    <w:next w:val="Normal"/>
    <w:uiPriority w:val="99"/>
    <w:rsid w:val="00FC13D9"/>
    <w:pPr>
      <w:tabs>
        <w:tab w:val="center" w:pos="4320"/>
        <w:tab w:val="right" w:pos="8640"/>
      </w:tabs>
    </w:pPr>
  </w:style>
  <w:style w:type="paragraph" w:styleId="Footer">
    <w:name w:val="footer"/>
    <w:basedOn w:val="Normal"/>
    <w:link w:val="FooterChar"/>
    <w:uiPriority w:val="99"/>
    <w:rsid w:val="00FC13D9"/>
    <w:pPr>
      <w:tabs>
        <w:tab w:val="center" w:pos="4320"/>
        <w:tab w:val="right" w:pos="8640"/>
      </w:tabs>
    </w:pPr>
  </w:style>
  <w:style w:type="character" w:customStyle="1" w:styleId="FooterChar">
    <w:name w:val="Footer Char"/>
    <w:basedOn w:val="DefaultParagraphFont"/>
    <w:link w:val="Footer"/>
    <w:uiPriority w:val="99"/>
    <w:rsid w:val="0069586E"/>
    <w:rPr>
      <w:sz w:val="24"/>
      <w:szCs w:val="24"/>
    </w:rPr>
  </w:style>
  <w:style w:type="character" w:styleId="PageNumber">
    <w:name w:val="page number"/>
    <w:basedOn w:val="DefaultParagraphFont"/>
    <w:uiPriority w:val="99"/>
    <w:rsid w:val="00FC13D9"/>
    <w:rPr>
      <w:rFonts w:cs="Times New Roman"/>
    </w:rPr>
  </w:style>
  <w:style w:type="paragraph" w:styleId="BalloonText">
    <w:name w:val="Balloon Text"/>
    <w:basedOn w:val="Normal"/>
    <w:link w:val="BalloonTextChar"/>
    <w:uiPriority w:val="99"/>
    <w:semiHidden/>
    <w:rsid w:val="00FC13D9"/>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86E"/>
    <w:rPr>
      <w:rFonts w:ascii="Lucida Grande" w:hAnsi="Lucida Grande"/>
      <w:sz w:val="18"/>
      <w:szCs w:val="18"/>
    </w:rPr>
  </w:style>
  <w:style w:type="character" w:customStyle="1" w:styleId="MTConvertedEquation">
    <w:name w:val="MTConvertedEquation"/>
    <w:basedOn w:val="DefaultParagraphFont"/>
    <w:uiPriority w:val="99"/>
    <w:rsid w:val="00FC13D9"/>
    <w:rPr>
      <w:rFonts w:cs="Times New Roman"/>
      <w:position w:val="-30"/>
    </w:rPr>
  </w:style>
  <w:style w:type="paragraph" w:styleId="Header">
    <w:name w:val="header"/>
    <w:basedOn w:val="Normal"/>
    <w:link w:val="HeaderChar"/>
    <w:uiPriority w:val="99"/>
    <w:rsid w:val="00FC13D9"/>
    <w:pPr>
      <w:tabs>
        <w:tab w:val="center" w:pos="4320"/>
        <w:tab w:val="right" w:pos="8640"/>
      </w:tabs>
    </w:pPr>
  </w:style>
  <w:style w:type="character" w:customStyle="1" w:styleId="HeaderChar">
    <w:name w:val="Header Char"/>
    <w:basedOn w:val="DefaultParagraphFont"/>
    <w:link w:val="Header"/>
    <w:uiPriority w:val="99"/>
    <w:semiHidden/>
    <w:rsid w:val="006958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uiPriority w:val="99"/>
    <w:rsid w:val="00FC13D9"/>
    <w:rPr>
      <w:rFonts w:cs="Times New Roman"/>
      <w:vanish/>
      <w:color w:val="FF0000"/>
    </w:rPr>
  </w:style>
  <w:style w:type="paragraph" w:customStyle="1" w:styleId="MTDisplayEquation">
    <w:name w:val="MTDisplayEquation"/>
    <w:basedOn w:val="Normal"/>
    <w:next w:val="Normal"/>
    <w:uiPriority w:val="99"/>
    <w:rsid w:val="00FC13D9"/>
    <w:pPr>
      <w:tabs>
        <w:tab w:val="center" w:pos="4320"/>
        <w:tab w:val="right" w:pos="8640"/>
      </w:tabs>
    </w:pPr>
  </w:style>
  <w:style w:type="paragraph" w:styleId="Footer">
    <w:name w:val="footer"/>
    <w:basedOn w:val="Normal"/>
    <w:link w:val="FooterChar"/>
    <w:uiPriority w:val="99"/>
    <w:rsid w:val="00FC13D9"/>
    <w:pPr>
      <w:tabs>
        <w:tab w:val="center" w:pos="4320"/>
        <w:tab w:val="right" w:pos="8640"/>
      </w:tabs>
    </w:pPr>
  </w:style>
  <w:style w:type="character" w:customStyle="1" w:styleId="FooterChar">
    <w:name w:val="Footer Char"/>
    <w:basedOn w:val="DefaultParagraphFont"/>
    <w:link w:val="Footer"/>
    <w:uiPriority w:val="99"/>
    <w:rsid w:val="0069586E"/>
    <w:rPr>
      <w:sz w:val="24"/>
      <w:szCs w:val="24"/>
    </w:rPr>
  </w:style>
  <w:style w:type="character" w:styleId="PageNumber">
    <w:name w:val="page number"/>
    <w:basedOn w:val="DefaultParagraphFont"/>
    <w:uiPriority w:val="99"/>
    <w:rsid w:val="00FC13D9"/>
    <w:rPr>
      <w:rFonts w:cs="Times New Roman"/>
    </w:rPr>
  </w:style>
  <w:style w:type="paragraph" w:styleId="BalloonText">
    <w:name w:val="Balloon Text"/>
    <w:basedOn w:val="Normal"/>
    <w:link w:val="BalloonTextChar"/>
    <w:uiPriority w:val="99"/>
    <w:semiHidden/>
    <w:rsid w:val="00FC13D9"/>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86E"/>
    <w:rPr>
      <w:rFonts w:ascii="Lucida Grande" w:hAnsi="Lucida Grande"/>
      <w:sz w:val="18"/>
      <w:szCs w:val="18"/>
    </w:rPr>
  </w:style>
  <w:style w:type="character" w:customStyle="1" w:styleId="MTConvertedEquation">
    <w:name w:val="MTConvertedEquation"/>
    <w:basedOn w:val="DefaultParagraphFont"/>
    <w:uiPriority w:val="99"/>
    <w:rsid w:val="00FC13D9"/>
    <w:rPr>
      <w:rFonts w:cs="Times New Roman"/>
      <w:position w:val="-30"/>
    </w:rPr>
  </w:style>
  <w:style w:type="paragraph" w:styleId="Header">
    <w:name w:val="header"/>
    <w:basedOn w:val="Normal"/>
    <w:link w:val="HeaderChar"/>
    <w:uiPriority w:val="99"/>
    <w:rsid w:val="00FC13D9"/>
    <w:pPr>
      <w:tabs>
        <w:tab w:val="center" w:pos="4320"/>
        <w:tab w:val="right" w:pos="8640"/>
      </w:tabs>
    </w:pPr>
  </w:style>
  <w:style w:type="character" w:customStyle="1" w:styleId="HeaderChar">
    <w:name w:val="Header Char"/>
    <w:basedOn w:val="DefaultParagraphFont"/>
    <w:link w:val="Header"/>
    <w:uiPriority w:val="99"/>
    <w:semiHidden/>
    <w:rsid w:val="006958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18A5822D.dotm</Template>
  <TotalTime>1</TotalTime>
  <Pages>5</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Derivation of ujx</vt:lpstr>
    </vt:vector>
  </TitlesOfParts>
  <Company>National Wetlands Research Center</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Derivation of ujx</dc:title>
  <dc:creator>Don Schoolmaster</dc:creator>
  <cp:lastModifiedBy>Schoolmaster, Donald R.</cp:lastModifiedBy>
  <cp:revision>3</cp:revision>
  <cp:lastPrinted>2011-04-21T20:31:00Z</cp:lastPrinted>
  <dcterms:created xsi:type="dcterms:W3CDTF">2013-07-11T17:08:00Z</dcterms:created>
  <dcterms:modified xsi:type="dcterms:W3CDTF">2013-07-11T17:11:00Z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false</vt:bool>
  </property>
  <property fmtid="{D5CDD505-2E9C-101B-9397-08002B2CF9AE}" pid="3" name="MTEquationSection">
    <vt:lpwstr>1</vt:lpwstr>
  </property>
  <property fmtid="{D5CDD505-2E9C-101B-9397-08002B2CF9AE}" pid="4" name="MTEquationNumber2">
    <vt:lpwstr>(C.1)</vt:lpwstr>
  </property>
  <property fmtid="{D5CDD505-2E9C-101B-9397-08002B2CF9AE}" pid="5" name="MTCustomEquationNumber">
    <vt:lpwstr>1</vt:lpwstr>
  </property>
  <property fmtid="{D5CDD505-2E9C-101B-9397-08002B2CF9AE}" pid="6" name="MTWinEqns">
    <vt:bool>true</vt:bool>
  </property>
</Properties>
</file>