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13" w:rsidRPr="003321F7" w:rsidRDefault="00346213" w:rsidP="00346213">
      <w:pPr>
        <w:spacing w:after="0" w:line="360" w:lineRule="auto"/>
        <w:rPr>
          <w:sz w:val="22"/>
          <w:szCs w:val="22"/>
        </w:rPr>
      </w:pPr>
      <w:r w:rsidRPr="00552522">
        <w:rPr>
          <w:b/>
          <w:sz w:val="22"/>
          <w:szCs w:val="22"/>
        </w:rPr>
        <w:t>Table S1.</w:t>
      </w:r>
      <w:r w:rsidRPr="00B16237">
        <w:rPr>
          <w:sz w:val="22"/>
          <w:szCs w:val="22"/>
        </w:rPr>
        <w:t xml:space="preserve"> </w:t>
      </w:r>
      <w:proofErr w:type="gramStart"/>
      <w:r w:rsidRPr="00B16237">
        <w:rPr>
          <w:sz w:val="22"/>
          <w:szCs w:val="22"/>
        </w:rPr>
        <w:t>Reciprocal transplant model selection results.</w:t>
      </w:r>
      <w:proofErr w:type="gramEnd"/>
      <w:r w:rsidRPr="003321F7">
        <w:rPr>
          <w:sz w:val="22"/>
          <w:szCs w:val="22"/>
        </w:rPr>
        <w:t xml:space="preserve"> A set of candidate models differing in random effects structure was composed for the analysis of each response variable. An observation level term (“</w:t>
      </w:r>
      <w:proofErr w:type="spellStart"/>
      <w:r w:rsidRPr="003321F7">
        <w:rPr>
          <w:sz w:val="22"/>
          <w:szCs w:val="22"/>
        </w:rPr>
        <w:t>obs</w:t>
      </w:r>
      <w:proofErr w:type="spellEnd"/>
      <w:r w:rsidRPr="003321F7">
        <w:rPr>
          <w:sz w:val="22"/>
          <w:szCs w:val="22"/>
        </w:rPr>
        <w:t xml:space="preserve">”) was included to test and account for over-dispersion in the binomial model of survival. The model containing the fewest parameters with the lowest </w:t>
      </w:r>
      <w:proofErr w:type="spellStart"/>
      <w:r w:rsidRPr="003321F7">
        <w:rPr>
          <w:sz w:val="22"/>
          <w:szCs w:val="22"/>
        </w:rPr>
        <w:t>Akaike</w:t>
      </w:r>
      <w:proofErr w:type="spellEnd"/>
      <w:r w:rsidRPr="003321F7">
        <w:rPr>
          <w:sz w:val="22"/>
          <w:szCs w:val="22"/>
        </w:rPr>
        <w:t xml:space="preserve"> Information Criterion (AIC) score by a differential value of less than</w:t>
      </w:r>
      <w:r>
        <w:rPr>
          <w:sz w:val="22"/>
          <w:szCs w:val="22"/>
        </w:rPr>
        <w:t xml:space="preserve"> two</w:t>
      </w:r>
      <w:r w:rsidRPr="003321F7">
        <w:rPr>
          <w:sz w:val="22"/>
          <w:szCs w:val="22"/>
        </w:rPr>
        <w:t xml:space="preserve"> was chosen for inference</w:t>
      </w:r>
      <w:r>
        <w:rPr>
          <w:sz w:val="22"/>
          <w:szCs w:val="22"/>
        </w:rPr>
        <w:t xml:space="preserve">, </w:t>
      </w:r>
      <w:r w:rsidRPr="0032370F">
        <w:rPr>
          <w:sz w:val="22"/>
          <w:szCs w:val="22"/>
        </w:rPr>
        <w:t>and is indicated by a dagger (†)</w:t>
      </w:r>
      <w:r w:rsidRPr="003321F7">
        <w:rPr>
          <w:sz w:val="22"/>
          <w:szCs w:val="22"/>
        </w:rPr>
        <w:t xml:space="preserve">. There was no significant </w:t>
      </w:r>
      <w:r>
        <w:rPr>
          <w:sz w:val="22"/>
          <w:szCs w:val="22"/>
        </w:rPr>
        <w:t>genotype x environment (</w:t>
      </w:r>
      <w:r w:rsidRPr="003321F7">
        <w:rPr>
          <w:sz w:val="22"/>
          <w:szCs w:val="22"/>
        </w:rPr>
        <w:t>G x E</w:t>
      </w:r>
      <w:r>
        <w:rPr>
          <w:sz w:val="22"/>
          <w:szCs w:val="22"/>
        </w:rPr>
        <w:t>)</w:t>
      </w:r>
      <w:r w:rsidRPr="003321F7">
        <w:rPr>
          <w:sz w:val="22"/>
          <w:szCs w:val="22"/>
        </w:rPr>
        <w:t xml:space="preserve"> interaction in the model for survival, growth rate, or developmental rate. </w:t>
      </w:r>
    </w:p>
    <w:tbl>
      <w:tblPr>
        <w:tblW w:w="8568" w:type="dxa"/>
        <w:tblLayout w:type="fixed"/>
        <w:tblLook w:val="04A0" w:firstRow="1" w:lastRow="0" w:firstColumn="1" w:lastColumn="0" w:noHBand="0" w:noVBand="1"/>
      </w:tblPr>
      <w:tblGrid>
        <w:gridCol w:w="3258"/>
        <w:gridCol w:w="2340"/>
        <w:gridCol w:w="1530"/>
        <w:gridCol w:w="1440"/>
      </w:tblGrid>
      <w:tr w:rsidR="00346213" w:rsidRPr="007B52ED" w:rsidTr="00E671A8">
        <w:tc>
          <w:tcPr>
            <w:tcW w:w="32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b/>
                <w:i/>
                <w:sz w:val="22"/>
                <w:szCs w:val="22"/>
              </w:rPr>
            </w:pPr>
            <w:r w:rsidRPr="003321F7">
              <w:rPr>
                <w:b/>
                <w:i/>
                <w:sz w:val="22"/>
                <w:szCs w:val="22"/>
              </w:rPr>
              <w:t>Response variable ~ fixed effects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b/>
                <w:i/>
                <w:sz w:val="22"/>
                <w:szCs w:val="22"/>
              </w:rPr>
            </w:pPr>
            <w:r w:rsidRPr="003321F7">
              <w:rPr>
                <w:b/>
                <w:i/>
                <w:sz w:val="22"/>
                <w:szCs w:val="22"/>
              </w:rPr>
              <w:t>Random effects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3321F7">
              <w:rPr>
                <w:b/>
                <w:i/>
                <w:sz w:val="22"/>
                <w:szCs w:val="22"/>
              </w:rPr>
              <w:t>AIC</w:t>
            </w:r>
          </w:p>
        </w:tc>
      </w:tr>
      <w:tr w:rsidR="00346213" w:rsidRPr="007B52ED" w:rsidTr="00E671A8">
        <w:tc>
          <w:tcPr>
            <w:tcW w:w="32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Pr="003321F7">
              <w:rPr>
                <w:sz w:val="22"/>
                <w:szCs w:val="22"/>
              </w:rPr>
              <w:t xml:space="preserve"> embryo size covariate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 </w:t>
            </w:r>
            <w:r w:rsidRPr="003321F7">
              <w:rPr>
                <w:sz w:val="22"/>
                <w:szCs w:val="22"/>
              </w:rPr>
              <w:t>embryo size covariate</w:t>
            </w:r>
          </w:p>
        </w:tc>
      </w:tr>
      <w:tr w:rsidR="00346213" w:rsidRPr="007B52ED" w:rsidTr="00E671A8">
        <w:tc>
          <w:tcPr>
            <w:tcW w:w="3258" w:type="dxa"/>
            <w:tcBorders>
              <w:top w:val="single" w:sz="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Survival ~ G + E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+clutch+block+obs</w:t>
            </w:r>
            <w:proofErr w:type="spellEnd"/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+clutch+block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372.12†</w:t>
            </w:r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408.94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373.50†</w:t>
            </w:r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408.25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+clutch+obs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376.16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377.94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+clutch</w:t>
            </w:r>
            <w:proofErr w:type="spellEnd"/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+block+obs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891.44</w:t>
            </w:r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382.54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893.40</w:t>
            </w:r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384.46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+block</w:t>
            </w:r>
            <w:proofErr w:type="spellEnd"/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+obs</w:t>
            </w:r>
            <w:proofErr w:type="spellEnd"/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902.61</w:t>
            </w:r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380.54</w:t>
            </w:r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1550.08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904.46</w:t>
            </w:r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382.47</w:t>
            </w:r>
          </w:p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1551.91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Growth rate ~ G + E</w:t>
            </w: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+clutch+block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-647.72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-645.76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+clutch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-625.47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-623.52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+block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-647.76†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-645.83†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-627.47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-625.52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Developmental rate ~ G + E</w:t>
            </w: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+clutch+block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-696.40†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-694.42†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+clutch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-606.61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-605.61</w:t>
            </w:r>
          </w:p>
        </w:tc>
      </w:tr>
      <w:tr w:rsidR="00346213" w:rsidRPr="007B52ED" w:rsidTr="00E671A8">
        <w:tc>
          <w:tcPr>
            <w:tcW w:w="3258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  <w:r w:rsidRPr="003321F7">
              <w:rPr>
                <w:sz w:val="22"/>
                <w:szCs w:val="22"/>
              </w:rPr>
              <w:t>+block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-620.95</w:t>
            </w:r>
          </w:p>
        </w:tc>
        <w:tc>
          <w:tcPr>
            <w:tcW w:w="1440" w:type="dxa"/>
            <w:shd w:val="clear" w:color="auto" w:fill="auto"/>
          </w:tcPr>
          <w:p w:rsidR="00346213" w:rsidRPr="003321F7" w:rsidRDefault="00346213" w:rsidP="00E671A8">
            <w:pPr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-622.66</w:t>
            </w:r>
          </w:p>
        </w:tc>
      </w:tr>
      <w:tr w:rsidR="00346213" w:rsidRPr="007B52ED" w:rsidTr="00E671A8">
        <w:tc>
          <w:tcPr>
            <w:tcW w:w="3258" w:type="dxa"/>
            <w:tcBorders>
              <w:bottom w:val="single" w:sz="12" w:space="0" w:color="000000"/>
            </w:tcBorders>
            <w:shd w:val="clear" w:color="auto" w:fill="auto"/>
          </w:tcPr>
          <w:p w:rsidR="00346213" w:rsidRPr="003321F7" w:rsidRDefault="00346213" w:rsidP="00E671A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  <w:shd w:val="clear" w:color="auto" w:fill="auto"/>
          </w:tcPr>
          <w:p w:rsidR="00346213" w:rsidRPr="003321F7" w:rsidRDefault="00346213" w:rsidP="00E671A8">
            <w:pPr>
              <w:spacing w:after="0"/>
              <w:rPr>
                <w:sz w:val="22"/>
                <w:szCs w:val="22"/>
              </w:rPr>
            </w:pPr>
            <w:proofErr w:type="gramStart"/>
            <w:r w:rsidRPr="003321F7">
              <w:rPr>
                <w:sz w:val="22"/>
                <w:szCs w:val="22"/>
              </w:rPr>
              <w:t>pair</w:t>
            </w:r>
            <w:proofErr w:type="gramEnd"/>
          </w:p>
        </w:tc>
        <w:tc>
          <w:tcPr>
            <w:tcW w:w="1530" w:type="dxa"/>
            <w:tcBorders>
              <w:bottom w:val="single" w:sz="12" w:space="0" w:color="000000"/>
            </w:tcBorders>
            <w:shd w:val="clear" w:color="auto" w:fill="auto"/>
          </w:tcPr>
          <w:p w:rsidR="00346213" w:rsidRPr="003321F7" w:rsidRDefault="00346213" w:rsidP="00E671A8">
            <w:pPr>
              <w:spacing w:after="0"/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-606.66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shd w:val="clear" w:color="auto" w:fill="auto"/>
          </w:tcPr>
          <w:p w:rsidR="00346213" w:rsidRPr="003321F7" w:rsidRDefault="00346213" w:rsidP="00E671A8">
            <w:pPr>
              <w:spacing w:after="0"/>
              <w:rPr>
                <w:sz w:val="22"/>
                <w:szCs w:val="22"/>
              </w:rPr>
            </w:pPr>
            <w:r w:rsidRPr="003321F7">
              <w:rPr>
                <w:sz w:val="22"/>
                <w:szCs w:val="22"/>
              </w:rPr>
              <w:t>-606.15</w:t>
            </w:r>
          </w:p>
        </w:tc>
      </w:tr>
    </w:tbl>
    <w:p w:rsidR="00B93228" w:rsidRPr="00B62829" w:rsidRDefault="00B93228" w:rsidP="00867CB1">
      <w:pPr>
        <w:spacing w:after="0" w:line="480" w:lineRule="auto"/>
      </w:pPr>
      <w:bookmarkStart w:id="0" w:name="_GoBack"/>
      <w:bookmarkEnd w:id="0"/>
    </w:p>
    <w:sectPr w:rsidR="00B93228" w:rsidRPr="00B62829" w:rsidSect="000505F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13"/>
    <w:rsid w:val="000505FE"/>
    <w:rsid w:val="000F3B42"/>
    <w:rsid w:val="00200945"/>
    <w:rsid w:val="002A356F"/>
    <w:rsid w:val="0032638D"/>
    <w:rsid w:val="00346213"/>
    <w:rsid w:val="003627F6"/>
    <w:rsid w:val="003E4F9D"/>
    <w:rsid w:val="00426870"/>
    <w:rsid w:val="00506E8D"/>
    <w:rsid w:val="00510740"/>
    <w:rsid w:val="005344DF"/>
    <w:rsid w:val="006B6CE1"/>
    <w:rsid w:val="006D7DCD"/>
    <w:rsid w:val="007A7F0F"/>
    <w:rsid w:val="00867CB1"/>
    <w:rsid w:val="00A648F2"/>
    <w:rsid w:val="00B62829"/>
    <w:rsid w:val="00B87BF3"/>
    <w:rsid w:val="00B93228"/>
    <w:rsid w:val="00C413DE"/>
    <w:rsid w:val="00CD45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C89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13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13"/>
    <w:rPr>
      <w:rFonts w:eastAsia="MS Mincho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E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Brady</dc:creator>
  <cp:keywords/>
  <dc:description/>
  <cp:lastModifiedBy>Steven Brady</cp:lastModifiedBy>
  <cp:revision>1</cp:revision>
  <dcterms:created xsi:type="dcterms:W3CDTF">2013-08-21T20:21:00Z</dcterms:created>
  <dcterms:modified xsi:type="dcterms:W3CDTF">2013-08-21T20:21:00Z</dcterms:modified>
</cp:coreProperties>
</file>