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89" w:rsidRPr="0032370F" w:rsidRDefault="00D90B89" w:rsidP="00D90B89">
      <w:pPr>
        <w:spacing w:after="0" w:line="360" w:lineRule="auto"/>
        <w:rPr>
          <w:sz w:val="22"/>
          <w:szCs w:val="22"/>
        </w:rPr>
      </w:pPr>
      <w:r w:rsidRPr="00552522">
        <w:rPr>
          <w:b/>
          <w:sz w:val="22"/>
          <w:szCs w:val="22"/>
        </w:rPr>
        <w:t>Table S2.</w:t>
      </w:r>
      <w:r w:rsidRPr="00B16237">
        <w:rPr>
          <w:sz w:val="22"/>
          <w:szCs w:val="22"/>
        </w:rPr>
        <w:t xml:space="preserve"> </w:t>
      </w:r>
      <w:proofErr w:type="gramStart"/>
      <w:r w:rsidRPr="00B16237">
        <w:rPr>
          <w:sz w:val="22"/>
          <w:szCs w:val="22"/>
        </w:rPr>
        <w:t>Chronic exposure model selection results.</w:t>
      </w:r>
      <w:proofErr w:type="gramEnd"/>
      <w:r w:rsidRPr="0032370F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32370F">
        <w:rPr>
          <w:sz w:val="22"/>
          <w:szCs w:val="22"/>
        </w:rPr>
        <w:t xml:space="preserve">andidate models </w:t>
      </w:r>
      <w:r>
        <w:rPr>
          <w:sz w:val="22"/>
          <w:szCs w:val="22"/>
        </w:rPr>
        <w:t>were</w:t>
      </w:r>
      <w:r w:rsidRPr="0032370F">
        <w:rPr>
          <w:sz w:val="22"/>
          <w:szCs w:val="22"/>
        </w:rPr>
        <w:t xml:space="preserve"> composed for survival, growth, development, and malformations across th</w:t>
      </w:r>
      <w:r>
        <w:rPr>
          <w:sz w:val="22"/>
          <w:szCs w:val="22"/>
        </w:rPr>
        <w:t>e interaction of genotype (G) x</w:t>
      </w:r>
      <w:r w:rsidRPr="0032370F">
        <w:rPr>
          <w:sz w:val="22"/>
          <w:szCs w:val="22"/>
        </w:rPr>
        <w:t xml:space="preserve"> environment (E); here environment refers to the three different road salt treatments. </w:t>
      </w:r>
      <w:r>
        <w:rPr>
          <w:sz w:val="22"/>
          <w:szCs w:val="22"/>
        </w:rPr>
        <w:t>Model selection is described in caption for Table S1.</w:t>
      </w:r>
      <w:r w:rsidRPr="0032370F">
        <w:rPr>
          <w:sz w:val="22"/>
          <w:szCs w:val="22"/>
        </w:rPr>
        <w:t xml:space="preserve"> An observation level term (“</w:t>
      </w:r>
      <w:proofErr w:type="spellStart"/>
      <w:r w:rsidRPr="0032370F">
        <w:rPr>
          <w:sz w:val="22"/>
          <w:szCs w:val="22"/>
        </w:rPr>
        <w:t>obs</w:t>
      </w:r>
      <w:proofErr w:type="spellEnd"/>
      <w:r w:rsidRPr="0032370F">
        <w:rPr>
          <w:sz w:val="22"/>
          <w:szCs w:val="22"/>
        </w:rPr>
        <w:t>”) was included to test and account for over-dispersion in the binomial model</w:t>
      </w:r>
      <w:r>
        <w:rPr>
          <w:sz w:val="22"/>
          <w:szCs w:val="22"/>
        </w:rPr>
        <w:t>s</w:t>
      </w:r>
      <w:r w:rsidRPr="0032370F">
        <w:rPr>
          <w:sz w:val="22"/>
          <w:szCs w:val="22"/>
        </w:rPr>
        <w:t xml:space="preserve">. There was no significant G x E interaction in the model for survival, growth rate, or developmental rate.  </w:t>
      </w:r>
    </w:p>
    <w:tbl>
      <w:tblPr>
        <w:tblW w:w="8928" w:type="dxa"/>
        <w:tblLayout w:type="fixed"/>
        <w:tblLook w:val="04A0" w:firstRow="1" w:lastRow="0" w:firstColumn="1" w:lastColumn="0" w:noHBand="0" w:noVBand="1"/>
      </w:tblPr>
      <w:tblGrid>
        <w:gridCol w:w="2718"/>
        <w:gridCol w:w="2430"/>
        <w:gridCol w:w="1800"/>
        <w:gridCol w:w="1980"/>
      </w:tblGrid>
      <w:tr w:rsidR="00D90B89" w:rsidRPr="007B52ED" w:rsidTr="00E671A8">
        <w:tc>
          <w:tcPr>
            <w:tcW w:w="271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90B89" w:rsidRPr="00A90BC1" w:rsidRDefault="00D90B89" w:rsidP="00E671A8">
            <w:pPr>
              <w:spacing w:after="0"/>
              <w:rPr>
                <w:sz w:val="22"/>
                <w:szCs w:val="22"/>
              </w:rPr>
            </w:pPr>
            <w:r w:rsidRPr="00A90BC1">
              <w:rPr>
                <w:b/>
                <w:sz w:val="22"/>
                <w:szCs w:val="22"/>
              </w:rPr>
              <w:t>Response variable ~ fixed effects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90B89" w:rsidRPr="00A90BC1" w:rsidRDefault="00D90B89" w:rsidP="00E671A8">
            <w:pPr>
              <w:spacing w:after="0"/>
              <w:rPr>
                <w:b/>
                <w:i/>
                <w:sz w:val="22"/>
                <w:szCs w:val="22"/>
              </w:rPr>
            </w:pPr>
            <w:r w:rsidRPr="00A90BC1">
              <w:rPr>
                <w:b/>
                <w:i/>
                <w:sz w:val="22"/>
                <w:szCs w:val="22"/>
              </w:rPr>
              <w:t>Random effects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90B89" w:rsidRDefault="00D90B89" w:rsidP="00E671A8">
            <w:pPr>
              <w:spacing w:after="0"/>
              <w:rPr>
                <w:b/>
                <w:sz w:val="22"/>
                <w:szCs w:val="22"/>
              </w:rPr>
            </w:pPr>
            <w:r w:rsidRPr="000E3416">
              <w:rPr>
                <w:b/>
                <w:sz w:val="22"/>
                <w:szCs w:val="22"/>
              </w:rPr>
              <w:t>AIC</w:t>
            </w:r>
            <w:r>
              <w:rPr>
                <w:b/>
                <w:sz w:val="22"/>
                <w:szCs w:val="22"/>
              </w:rPr>
              <w:t xml:space="preserve"> (no embryo</w:t>
            </w:r>
          </w:p>
          <w:p w:rsidR="00D90B89" w:rsidRPr="000E3416" w:rsidRDefault="00D90B89" w:rsidP="00E671A8">
            <w:pPr>
              <w:spacing w:after="0"/>
              <w:rPr>
                <w:b/>
                <w:sz w:val="22"/>
                <w:szCs w:val="22"/>
                <w:vertAlign w:val="superscript"/>
              </w:rPr>
            </w:pPr>
            <w:proofErr w:type="gramStart"/>
            <w:r>
              <w:rPr>
                <w:b/>
                <w:sz w:val="22"/>
                <w:szCs w:val="22"/>
              </w:rPr>
              <w:t>size</w:t>
            </w:r>
            <w:proofErr w:type="gramEnd"/>
            <w:r>
              <w:rPr>
                <w:b/>
                <w:sz w:val="22"/>
                <w:szCs w:val="22"/>
              </w:rPr>
              <w:t xml:space="preserve"> covariate)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90B89" w:rsidRPr="000E3416" w:rsidRDefault="00D90B89" w:rsidP="00E671A8">
            <w:pPr>
              <w:spacing w:after="0"/>
              <w:rPr>
                <w:b/>
                <w:sz w:val="22"/>
                <w:szCs w:val="22"/>
              </w:rPr>
            </w:pPr>
            <w:r w:rsidRPr="000E3416">
              <w:rPr>
                <w:b/>
                <w:sz w:val="22"/>
                <w:szCs w:val="22"/>
              </w:rPr>
              <w:t xml:space="preserve">AIC </w:t>
            </w:r>
            <w:r>
              <w:rPr>
                <w:b/>
                <w:sz w:val="22"/>
                <w:szCs w:val="22"/>
              </w:rPr>
              <w:t>(</w:t>
            </w:r>
            <w:r w:rsidRPr="000E3416">
              <w:rPr>
                <w:b/>
                <w:sz w:val="22"/>
                <w:szCs w:val="22"/>
              </w:rPr>
              <w:t>with embryo size covariate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D90B89" w:rsidRPr="007B52ED" w:rsidTr="00E671A8">
        <w:tc>
          <w:tcPr>
            <w:tcW w:w="2718" w:type="dxa"/>
            <w:tcBorders>
              <w:top w:val="single" w:sz="2" w:space="0" w:color="auto"/>
            </w:tcBorders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r w:rsidRPr="00A90BC1">
              <w:rPr>
                <w:sz w:val="22"/>
                <w:szCs w:val="22"/>
              </w:rPr>
              <w:t>Survival ~ G + E</w:t>
            </w:r>
          </w:p>
        </w:tc>
        <w:tc>
          <w:tcPr>
            <w:tcW w:w="2430" w:type="dxa"/>
            <w:tcBorders>
              <w:top w:val="single" w:sz="2" w:space="0" w:color="auto"/>
            </w:tcBorders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pool</w:t>
            </w:r>
            <w:proofErr w:type="gramEnd"/>
            <w:r w:rsidRPr="00A90BC1">
              <w:rPr>
                <w:sz w:val="22"/>
                <w:szCs w:val="22"/>
              </w:rPr>
              <w:t>+clutch+block+obs</w:t>
            </w:r>
            <w:proofErr w:type="spellEnd"/>
          </w:p>
        </w:tc>
        <w:tc>
          <w:tcPr>
            <w:tcW w:w="1800" w:type="dxa"/>
            <w:tcBorders>
              <w:top w:val="single" w:sz="2" w:space="0" w:color="auto"/>
            </w:tcBorders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r w:rsidRPr="00A90BC1">
              <w:rPr>
                <w:sz w:val="22"/>
                <w:szCs w:val="22"/>
              </w:rPr>
              <w:t>258.71</w:t>
            </w:r>
          </w:p>
        </w:tc>
        <w:tc>
          <w:tcPr>
            <w:tcW w:w="1980" w:type="dxa"/>
            <w:tcBorders>
              <w:top w:val="single" w:sz="2" w:space="0" w:color="auto"/>
            </w:tcBorders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r w:rsidRPr="00A90BC1">
              <w:rPr>
                <w:sz w:val="22"/>
                <w:szCs w:val="22"/>
              </w:rPr>
              <w:t>256.30</w:t>
            </w:r>
          </w:p>
        </w:tc>
      </w:tr>
      <w:tr w:rsidR="00D90B89" w:rsidRPr="007B52ED" w:rsidTr="00E671A8">
        <w:tc>
          <w:tcPr>
            <w:tcW w:w="2718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pool</w:t>
            </w:r>
            <w:proofErr w:type="gramEnd"/>
            <w:r w:rsidRPr="00A90BC1">
              <w:rPr>
                <w:sz w:val="22"/>
                <w:szCs w:val="22"/>
              </w:rPr>
              <w:t>+clutch+block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r w:rsidRPr="00A90BC1">
              <w:rPr>
                <w:sz w:val="22"/>
                <w:szCs w:val="22"/>
              </w:rPr>
              <w:t>374.43</w:t>
            </w:r>
          </w:p>
        </w:tc>
        <w:tc>
          <w:tcPr>
            <w:tcW w:w="1980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r w:rsidRPr="00A90BC1">
              <w:rPr>
                <w:sz w:val="22"/>
                <w:szCs w:val="22"/>
              </w:rPr>
              <w:t>380.92</w:t>
            </w:r>
          </w:p>
        </w:tc>
      </w:tr>
      <w:tr w:rsidR="00D90B89" w:rsidRPr="007B52ED" w:rsidTr="00E671A8">
        <w:tc>
          <w:tcPr>
            <w:tcW w:w="2718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pool</w:t>
            </w:r>
            <w:proofErr w:type="gramEnd"/>
            <w:r w:rsidRPr="00A90BC1">
              <w:rPr>
                <w:sz w:val="22"/>
                <w:szCs w:val="22"/>
              </w:rPr>
              <w:t>+clutch+obs</w:t>
            </w:r>
            <w:proofErr w:type="spellEnd"/>
          </w:p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pool</w:t>
            </w:r>
            <w:proofErr w:type="gramEnd"/>
            <w:r w:rsidRPr="00A90BC1">
              <w:rPr>
                <w:sz w:val="22"/>
                <w:szCs w:val="22"/>
              </w:rPr>
              <w:t>+clutch</w:t>
            </w:r>
            <w:proofErr w:type="spellEnd"/>
          </w:p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pool</w:t>
            </w:r>
            <w:proofErr w:type="gramEnd"/>
            <w:r w:rsidRPr="00A90BC1">
              <w:rPr>
                <w:sz w:val="22"/>
                <w:szCs w:val="22"/>
              </w:rPr>
              <w:t>+block+obs</w:t>
            </w:r>
            <w:proofErr w:type="spellEnd"/>
          </w:p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pool</w:t>
            </w:r>
            <w:proofErr w:type="gramEnd"/>
            <w:r w:rsidRPr="00A90BC1">
              <w:rPr>
                <w:sz w:val="22"/>
                <w:szCs w:val="22"/>
              </w:rPr>
              <w:t>+block</w:t>
            </w:r>
            <w:proofErr w:type="spellEnd"/>
          </w:p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pool</w:t>
            </w:r>
            <w:proofErr w:type="gramEnd"/>
            <w:r w:rsidRPr="00A90BC1">
              <w:rPr>
                <w:sz w:val="22"/>
                <w:szCs w:val="22"/>
              </w:rPr>
              <w:t>+obs</w:t>
            </w:r>
            <w:proofErr w:type="spellEnd"/>
          </w:p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pool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r w:rsidRPr="00A90BC1">
              <w:rPr>
                <w:sz w:val="22"/>
                <w:szCs w:val="22"/>
              </w:rPr>
              <w:t>256.83</w:t>
            </w:r>
          </w:p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r w:rsidRPr="00A90BC1">
              <w:rPr>
                <w:sz w:val="22"/>
                <w:szCs w:val="22"/>
              </w:rPr>
              <w:t>376.91</w:t>
            </w:r>
          </w:p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r w:rsidRPr="00A90BC1">
              <w:rPr>
                <w:sz w:val="22"/>
                <w:szCs w:val="22"/>
              </w:rPr>
              <w:t>257.50</w:t>
            </w:r>
          </w:p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r w:rsidRPr="00A90BC1">
              <w:rPr>
                <w:sz w:val="22"/>
                <w:szCs w:val="22"/>
              </w:rPr>
              <w:t>436.30</w:t>
            </w:r>
          </w:p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r w:rsidRPr="00A90BC1">
              <w:rPr>
                <w:sz w:val="22"/>
                <w:szCs w:val="22"/>
              </w:rPr>
              <w:t>255.50†</w:t>
            </w:r>
          </w:p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r w:rsidRPr="00A90BC1">
              <w:rPr>
                <w:sz w:val="22"/>
                <w:szCs w:val="22"/>
              </w:rPr>
              <w:t>445.47</w:t>
            </w:r>
          </w:p>
        </w:tc>
        <w:tc>
          <w:tcPr>
            <w:tcW w:w="1980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r w:rsidRPr="00A90BC1">
              <w:rPr>
                <w:sz w:val="22"/>
                <w:szCs w:val="22"/>
              </w:rPr>
              <w:t>254.37</w:t>
            </w:r>
          </w:p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r w:rsidRPr="00A90BC1">
              <w:rPr>
                <w:sz w:val="22"/>
                <w:szCs w:val="22"/>
              </w:rPr>
              <w:t>383.34</w:t>
            </w:r>
          </w:p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r w:rsidRPr="00A90BC1">
              <w:rPr>
                <w:sz w:val="22"/>
                <w:szCs w:val="22"/>
              </w:rPr>
              <w:t>254.99</w:t>
            </w:r>
          </w:p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r w:rsidRPr="00A90BC1">
              <w:rPr>
                <w:sz w:val="22"/>
                <w:szCs w:val="22"/>
              </w:rPr>
              <w:t>443.96</w:t>
            </w:r>
          </w:p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r w:rsidRPr="00A90BC1">
              <w:rPr>
                <w:sz w:val="22"/>
                <w:szCs w:val="22"/>
              </w:rPr>
              <w:t>252.99†</w:t>
            </w:r>
          </w:p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r w:rsidRPr="00A90BC1">
              <w:rPr>
                <w:sz w:val="22"/>
                <w:szCs w:val="22"/>
              </w:rPr>
              <w:t>452.56</w:t>
            </w:r>
          </w:p>
        </w:tc>
      </w:tr>
      <w:tr w:rsidR="00D90B89" w:rsidRPr="007B52ED" w:rsidTr="00E671A8">
        <w:tc>
          <w:tcPr>
            <w:tcW w:w="2718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r w:rsidRPr="00A90BC1">
              <w:rPr>
                <w:sz w:val="22"/>
                <w:szCs w:val="22"/>
              </w:rPr>
              <w:t>Growth rate ~ G + E</w:t>
            </w:r>
          </w:p>
        </w:tc>
        <w:tc>
          <w:tcPr>
            <w:tcW w:w="2430" w:type="dxa"/>
            <w:shd w:val="clear" w:color="auto" w:fill="auto"/>
          </w:tcPr>
          <w:p w:rsidR="00D90B89" w:rsidRPr="00685B8D" w:rsidRDefault="00D90B89" w:rsidP="00E671A8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pool</w:t>
            </w:r>
            <w:proofErr w:type="gramEnd"/>
            <w:r w:rsidRPr="00685B8D">
              <w:rPr>
                <w:sz w:val="22"/>
                <w:szCs w:val="22"/>
              </w:rPr>
              <w:t>+clutch+block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D90B89" w:rsidRPr="00685B8D" w:rsidRDefault="00D90B89" w:rsidP="00E671A8">
            <w:pPr>
              <w:rPr>
                <w:sz w:val="22"/>
                <w:szCs w:val="22"/>
              </w:rPr>
            </w:pPr>
            <w:r w:rsidRPr="00685B8D">
              <w:rPr>
                <w:sz w:val="22"/>
                <w:szCs w:val="22"/>
              </w:rPr>
              <w:t>-590.68</w:t>
            </w:r>
          </w:p>
        </w:tc>
        <w:tc>
          <w:tcPr>
            <w:tcW w:w="1980" w:type="dxa"/>
            <w:shd w:val="clear" w:color="auto" w:fill="auto"/>
          </w:tcPr>
          <w:p w:rsidR="00D90B89" w:rsidRPr="00685B8D" w:rsidRDefault="00D90B89" w:rsidP="00E671A8">
            <w:pPr>
              <w:rPr>
                <w:sz w:val="22"/>
                <w:szCs w:val="22"/>
              </w:rPr>
            </w:pPr>
            <w:r w:rsidRPr="00685B8D">
              <w:rPr>
                <w:sz w:val="22"/>
                <w:szCs w:val="22"/>
              </w:rPr>
              <w:t>-588.95</w:t>
            </w:r>
          </w:p>
        </w:tc>
      </w:tr>
      <w:tr w:rsidR="00D90B89" w:rsidRPr="007B52ED" w:rsidTr="00E671A8">
        <w:tc>
          <w:tcPr>
            <w:tcW w:w="2718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D90B89" w:rsidRPr="00685B8D" w:rsidRDefault="00D90B89" w:rsidP="00E671A8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pool</w:t>
            </w:r>
            <w:proofErr w:type="gramEnd"/>
            <w:r w:rsidRPr="00685B8D">
              <w:rPr>
                <w:sz w:val="22"/>
                <w:szCs w:val="22"/>
              </w:rPr>
              <w:t>+clutch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D90B89" w:rsidRPr="00685B8D" w:rsidRDefault="00D90B89" w:rsidP="00E671A8">
            <w:pPr>
              <w:rPr>
                <w:sz w:val="22"/>
                <w:szCs w:val="22"/>
              </w:rPr>
            </w:pPr>
            <w:r w:rsidRPr="00685B8D">
              <w:rPr>
                <w:sz w:val="22"/>
                <w:szCs w:val="22"/>
              </w:rPr>
              <w:t>-592.68</w:t>
            </w:r>
          </w:p>
        </w:tc>
        <w:tc>
          <w:tcPr>
            <w:tcW w:w="1980" w:type="dxa"/>
            <w:shd w:val="clear" w:color="auto" w:fill="auto"/>
          </w:tcPr>
          <w:p w:rsidR="00D90B89" w:rsidRPr="00685B8D" w:rsidRDefault="00D90B89" w:rsidP="00E671A8">
            <w:pPr>
              <w:rPr>
                <w:sz w:val="22"/>
                <w:szCs w:val="22"/>
              </w:rPr>
            </w:pPr>
            <w:r w:rsidRPr="00685B8D">
              <w:rPr>
                <w:sz w:val="22"/>
                <w:szCs w:val="22"/>
              </w:rPr>
              <w:t>-590.95</w:t>
            </w:r>
          </w:p>
        </w:tc>
      </w:tr>
      <w:tr w:rsidR="00D90B89" w:rsidRPr="007B52ED" w:rsidTr="00E671A8">
        <w:tc>
          <w:tcPr>
            <w:tcW w:w="2718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D90B89" w:rsidRPr="00685B8D" w:rsidRDefault="00D90B89" w:rsidP="00E671A8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pool</w:t>
            </w:r>
            <w:proofErr w:type="gramEnd"/>
            <w:r w:rsidRPr="00685B8D">
              <w:rPr>
                <w:sz w:val="22"/>
                <w:szCs w:val="22"/>
              </w:rPr>
              <w:t>+block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D90B89" w:rsidRPr="00685B8D" w:rsidRDefault="00D90B89" w:rsidP="00E671A8">
            <w:pPr>
              <w:rPr>
                <w:sz w:val="22"/>
                <w:szCs w:val="22"/>
              </w:rPr>
            </w:pPr>
            <w:r w:rsidRPr="00685B8D">
              <w:rPr>
                <w:sz w:val="22"/>
                <w:szCs w:val="22"/>
              </w:rPr>
              <w:t>-592.49</w:t>
            </w:r>
          </w:p>
        </w:tc>
        <w:tc>
          <w:tcPr>
            <w:tcW w:w="1980" w:type="dxa"/>
            <w:shd w:val="clear" w:color="auto" w:fill="auto"/>
          </w:tcPr>
          <w:p w:rsidR="00D90B89" w:rsidRPr="00685B8D" w:rsidRDefault="00D90B89" w:rsidP="00E671A8">
            <w:pPr>
              <w:rPr>
                <w:sz w:val="22"/>
                <w:szCs w:val="22"/>
              </w:rPr>
            </w:pPr>
            <w:r w:rsidRPr="00685B8D">
              <w:rPr>
                <w:sz w:val="22"/>
                <w:szCs w:val="22"/>
              </w:rPr>
              <w:t>-590.70</w:t>
            </w:r>
          </w:p>
        </w:tc>
      </w:tr>
      <w:tr w:rsidR="00D90B89" w:rsidRPr="007B52ED" w:rsidTr="00E671A8">
        <w:tc>
          <w:tcPr>
            <w:tcW w:w="2718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D90B89" w:rsidRPr="00685B8D" w:rsidRDefault="00D90B89" w:rsidP="00E671A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pool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D90B89" w:rsidRPr="00685B8D" w:rsidRDefault="00D90B89" w:rsidP="00E671A8">
            <w:pPr>
              <w:rPr>
                <w:sz w:val="22"/>
                <w:szCs w:val="22"/>
              </w:rPr>
            </w:pPr>
            <w:r w:rsidRPr="00685B8D">
              <w:rPr>
                <w:sz w:val="22"/>
                <w:szCs w:val="22"/>
              </w:rPr>
              <w:t>-594.34†</w:t>
            </w:r>
          </w:p>
        </w:tc>
        <w:tc>
          <w:tcPr>
            <w:tcW w:w="1980" w:type="dxa"/>
            <w:shd w:val="clear" w:color="auto" w:fill="auto"/>
          </w:tcPr>
          <w:p w:rsidR="00D90B89" w:rsidRPr="00685B8D" w:rsidRDefault="00D90B89" w:rsidP="00E671A8">
            <w:pPr>
              <w:rPr>
                <w:sz w:val="22"/>
                <w:szCs w:val="22"/>
              </w:rPr>
            </w:pPr>
            <w:r w:rsidRPr="00685B8D">
              <w:rPr>
                <w:sz w:val="22"/>
                <w:szCs w:val="22"/>
              </w:rPr>
              <w:t>-592.54†</w:t>
            </w:r>
          </w:p>
        </w:tc>
      </w:tr>
      <w:tr w:rsidR="00D90B89" w:rsidRPr="007B52ED" w:rsidTr="00E671A8">
        <w:tc>
          <w:tcPr>
            <w:tcW w:w="2718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r w:rsidRPr="00A90BC1">
              <w:rPr>
                <w:sz w:val="22"/>
                <w:szCs w:val="22"/>
              </w:rPr>
              <w:t>Developmental rate ~ G + E</w:t>
            </w:r>
          </w:p>
        </w:tc>
        <w:tc>
          <w:tcPr>
            <w:tcW w:w="2430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pool</w:t>
            </w:r>
            <w:proofErr w:type="gramEnd"/>
            <w:r w:rsidRPr="00A90BC1">
              <w:rPr>
                <w:sz w:val="22"/>
                <w:szCs w:val="22"/>
              </w:rPr>
              <w:t>+clutch+block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r w:rsidRPr="00410652">
              <w:rPr>
                <w:sz w:val="22"/>
                <w:szCs w:val="22"/>
              </w:rPr>
              <w:t>-483.28</w:t>
            </w:r>
          </w:p>
        </w:tc>
        <w:tc>
          <w:tcPr>
            <w:tcW w:w="1980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r w:rsidRPr="00410652">
              <w:rPr>
                <w:sz w:val="22"/>
                <w:szCs w:val="22"/>
              </w:rPr>
              <w:t>-481.47</w:t>
            </w:r>
          </w:p>
        </w:tc>
      </w:tr>
      <w:tr w:rsidR="00D90B89" w:rsidRPr="007B52ED" w:rsidTr="00E671A8">
        <w:tc>
          <w:tcPr>
            <w:tcW w:w="2718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pool</w:t>
            </w:r>
            <w:proofErr w:type="gramEnd"/>
            <w:r w:rsidRPr="00A90BC1">
              <w:rPr>
                <w:sz w:val="22"/>
                <w:szCs w:val="22"/>
              </w:rPr>
              <w:t>+clutch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r w:rsidRPr="00A90BC1">
              <w:rPr>
                <w:sz w:val="22"/>
                <w:szCs w:val="22"/>
              </w:rPr>
              <w:t>-483.63†</w:t>
            </w:r>
          </w:p>
        </w:tc>
        <w:tc>
          <w:tcPr>
            <w:tcW w:w="1980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r w:rsidRPr="00A90BC1">
              <w:rPr>
                <w:sz w:val="22"/>
                <w:szCs w:val="22"/>
              </w:rPr>
              <w:t>-481.67†</w:t>
            </w:r>
          </w:p>
        </w:tc>
      </w:tr>
      <w:tr w:rsidR="00D90B89" w:rsidRPr="007B52ED" w:rsidTr="00E671A8">
        <w:tc>
          <w:tcPr>
            <w:tcW w:w="2718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pool</w:t>
            </w:r>
            <w:proofErr w:type="gramEnd"/>
            <w:r w:rsidRPr="00A90BC1">
              <w:rPr>
                <w:sz w:val="22"/>
                <w:szCs w:val="22"/>
              </w:rPr>
              <w:t>+block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r w:rsidRPr="00A90BC1">
              <w:rPr>
                <w:sz w:val="22"/>
                <w:szCs w:val="22"/>
              </w:rPr>
              <w:t>-477.63</w:t>
            </w:r>
          </w:p>
        </w:tc>
        <w:tc>
          <w:tcPr>
            <w:tcW w:w="1980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r w:rsidRPr="00A90BC1">
              <w:rPr>
                <w:sz w:val="22"/>
                <w:szCs w:val="22"/>
              </w:rPr>
              <w:t>-476.17</w:t>
            </w:r>
          </w:p>
        </w:tc>
      </w:tr>
      <w:tr w:rsidR="00D90B89" w:rsidRPr="007B52ED" w:rsidTr="00E671A8">
        <w:tc>
          <w:tcPr>
            <w:tcW w:w="2718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pool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r w:rsidRPr="00A90BC1">
              <w:rPr>
                <w:sz w:val="22"/>
                <w:szCs w:val="22"/>
              </w:rPr>
              <w:t>-478.95</w:t>
            </w:r>
          </w:p>
        </w:tc>
        <w:tc>
          <w:tcPr>
            <w:tcW w:w="1980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r w:rsidRPr="00A90BC1">
              <w:rPr>
                <w:sz w:val="22"/>
                <w:szCs w:val="22"/>
              </w:rPr>
              <w:t>-477.17</w:t>
            </w:r>
          </w:p>
        </w:tc>
      </w:tr>
      <w:tr w:rsidR="00D90B89" w:rsidRPr="007B52ED" w:rsidTr="00E671A8">
        <w:tc>
          <w:tcPr>
            <w:tcW w:w="2718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Malformation ~ G x</w:t>
            </w:r>
            <w:r w:rsidRPr="00A90BC1">
              <w:rPr>
                <w:sz w:val="22"/>
                <w:szCs w:val="22"/>
              </w:rPr>
              <w:t xml:space="preserve"> E</w:t>
            </w:r>
          </w:p>
        </w:tc>
        <w:tc>
          <w:tcPr>
            <w:tcW w:w="2430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pool</w:t>
            </w:r>
            <w:proofErr w:type="gramEnd"/>
            <w:r w:rsidRPr="00A90BC1">
              <w:rPr>
                <w:sz w:val="22"/>
                <w:szCs w:val="22"/>
              </w:rPr>
              <w:t>+clutch+block+obs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rFonts w:eastAsia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90BC1">
              <w:rPr>
                <w:rFonts w:eastAsia="Times New Roman"/>
                <w:bCs/>
                <w:color w:val="000000"/>
                <w:sz w:val="22"/>
                <w:szCs w:val="22"/>
                <w:shd w:val="clear" w:color="auto" w:fill="FFFFFF"/>
              </w:rPr>
              <w:t>177.84</w:t>
            </w:r>
          </w:p>
        </w:tc>
        <w:tc>
          <w:tcPr>
            <w:tcW w:w="1980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r w:rsidRPr="00A90BC1">
              <w:rPr>
                <w:sz w:val="22"/>
                <w:szCs w:val="22"/>
              </w:rPr>
              <w:t>177.84</w:t>
            </w:r>
          </w:p>
        </w:tc>
      </w:tr>
      <w:tr w:rsidR="00D90B89" w:rsidRPr="007B52ED" w:rsidTr="00E671A8">
        <w:tc>
          <w:tcPr>
            <w:tcW w:w="2718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pool</w:t>
            </w:r>
            <w:proofErr w:type="gramEnd"/>
            <w:r w:rsidRPr="00A90BC1">
              <w:rPr>
                <w:sz w:val="22"/>
                <w:szCs w:val="22"/>
              </w:rPr>
              <w:t>+clutch+block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rFonts w:eastAsia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90BC1">
              <w:rPr>
                <w:rFonts w:eastAsia="Times New Roman"/>
                <w:bCs/>
                <w:color w:val="000000"/>
                <w:sz w:val="22"/>
                <w:szCs w:val="22"/>
                <w:shd w:val="clear" w:color="auto" w:fill="FFFFFF"/>
              </w:rPr>
              <w:t>199.25</w:t>
            </w:r>
          </w:p>
        </w:tc>
        <w:tc>
          <w:tcPr>
            <w:tcW w:w="1980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r w:rsidRPr="00A90BC1">
              <w:rPr>
                <w:sz w:val="22"/>
                <w:szCs w:val="22"/>
              </w:rPr>
              <w:t>197.47</w:t>
            </w:r>
          </w:p>
        </w:tc>
      </w:tr>
      <w:tr w:rsidR="00D90B89" w:rsidRPr="007B52ED" w:rsidTr="00E671A8">
        <w:tc>
          <w:tcPr>
            <w:tcW w:w="2718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pool</w:t>
            </w:r>
            <w:proofErr w:type="gramEnd"/>
            <w:r w:rsidRPr="00A90BC1">
              <w:rPr>
                <w:sz w:val="22"/>
                <w:szCs w:val="22"/>
              </w:rPr>
              <w:t>+clutch+obs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rFonts w:eastAsia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90BC1">
              <w:rPr>
                <w:rFonts w:eastAsia="Times New Roman"/>
                <w:bCs/>
                <w:color w:val="000000"/>
                <w:sz w:val="22"/>
                <w:szCs w:val="22"/>
                <w:shd w:val="clear" w:color="auto" w:fill="FFFFFF"/>
              </w:rPr>
              <w:t>175.84</w:t>
            </w:r>
          </w:p>
        </w:tc>
        <w:tc>
          <w:tcPr>
            <w:tcW w:w="1980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r w:rsidRPr="00A90BC1">
              <w:rPr>
                <w:sz w:val="22"/>
                <w:szCs w:val="22"/>
              </w:rPr>
              <w:t>175.84</w:t>
            </w:r>
          </w:p>
        </w:tc>
      </w:tr>
      <w:tr w:rsidR="00D90B89" w:rsidRPr="00B15B0A" w:rsidTr="00E671A8">
        <w:tc>
          <w:tcPr>
            <w:tcW w:w="2718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pool</w:t>
            </w:r>
            <w:proofErr w:type="gramEnd"/>
            <w:r w:rsidRPr="00A90BC1">
              <w:rPr>
                <w:sz w:val="22"/>
                <w:szCs w:val="22"/>
              </w:rPr>
              <w:t>+clutch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rFonts w:eastAsia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90BC1">
              <w:rPr>
                <w:rFonts w:eastAsia="Times New Roman"/>
                <w:bCs/>
                <w:color w:val="000000"/>
                <w:sz w:val="22"/>
                <w:szCs w:val="22"/>
                <w:shd w:val="clear" w:color="auto" w:fill="FFFFFF"/>
              </w:rPr>
              <w:t>205.57</w:t>
            </w:r>
          </w:p>
        </w:tc>
        <w:tc>
          <w:tcPr>
            <w:tcW w:w="1980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r w:rsidRPr="00A90BC1">
              <w:rPr>
                <w:sz w:val="22"/>
                <w:szCs w:val="22"/>
              </w:rPr>
              <w:t>204.60</w:t>
            </w:r>
          </w:p>
        </w:tc>
      </w:tr>
      <w:tr w:rsidR="00D90B89" w:rsidRPr="00B15B0A" w:rsidTr="00E671A8">
        <w:tc>
          <w:tcPr>
            <w:tcW w:w="2718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pool</w:t>
            </w:r>
            <w:proofErr w:type="gramEnd"/>
            <w:r w:rsidRPr="00A90BC1">
              <w:rPr>
                <w:sz w:val="22"/>
                <w:szCs w:val="22"/>
              </w:rPr>
              <w:t>+block+obs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rFonts w:eastAsia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90BC1">
              <w:rPr>
                <w:rFonts w:eastAsia="Times New Roman"/>
                <w:bCs/>
                <w:color w:val="000000"/>
                <w:sz w:val="22"/>
                <w:szCs w:val="22"/>
                <w:shd w:val="clear" w:color="auto" w:fill="FFFFFF"/>
              </w:rPr>
              <w:t>175.84</w:t>
            </w:r>
          </w:p>
        </w:tc>
        <w:tc>
          <w:tcPr>
            <w:tcW w:w="1980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r w:rsidRPr="00A90BC1">
              <w:rPr>
                <w:sz w:val="22"/>
                <w:szCs w:val="22"/>
              </w:rPr>
              <w:t>175.84</w:t>
            </w:r>
          </w:p>
        </w:tc>
      </w:tr>
      <w:tr w:rsidR="00D90B89" w:rsidRPr="00B15B0A" w:rsidTr="00E671A8">
        <w:tc>
          <w:tcPr>
            <w:tcW w:w="2718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pool</w:t>
            </w:r>
            <w:proofErr w:type="gramEnd"/>
            <w:r w:rsidRPr="00A90BC1">
              <w:rPr>
                <w:sz w:val="22"/>
                <w:szCs w:val="22"/>
              </w:rPr>
              <w:t>+block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rFonts w:eastAsia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90BC1">
              <w:rPr>
                <w:rFonts w:eastAsia="Times New Roman"/>
                <w:bCs/>
                <w:color w:val="000000"/>
                <w:sz w:val="22"/>
                <w:szCs w:val="22"/>
                <w:shd w:val="clear" w:color="auto" w:fill="FFFFFF"/>
              </w:rPr>
              <w:t>247.67</w:t>
            </w:r>
          </w:p>
        </w:tc>
        <w:tc>
          <w:tcPr>
            <w:tcW w:w="1980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r w:rsidRPr="00A90BC1">
              <w:rPr>
                <w:sz w:val="22"/>
                <w:szCs w:val="22"/>
              </w:rPr>
              <w:t>245.84</w:t>
            </w:r>
          </w:p>
        </w:tc>
      </w:tr>
      <w:tr w:rsidR="00D90B89" w:rsidRPr="00B15B0A" w:rsidTr="00E671A8">
        <w:tc>
          <w:tcPr>
            <w:tcW w:w="2718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pool</w:t>
            </w:r>
            <w:proofErr w:type="gramEnd"/>
            <w:r w:rsidRPr="00A90BC1">
              <w:rPr>
                <w:sz w:val="22"/>
                <w:szCs w:val="22"/>
              </w:rPr>
              <w:t>+obs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rFonts w:eastAsia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90BC1">
              <w:rPr>
                <w:rFonts w:eastAsia="Times New Roman"/>
                <w:bCs/>
                <w:color w:val="000000"/>
                <w:sz w:val="22"/>
                <w:szCs w:val="22"/>
                <w:shd w:val="clear" w:color="auto" w:fill="FFFFFF"/>
              </w:rPr>
              <w:t>173.84</w:t>
            </w:r>
            <w:r w:rsidRPr="00A90BC1">
              <w:rPr>
                <w:sz w:val="22"/>
                <w:szCs w:val="22"/>
              </w:rPr>
              <w:t>†</w:t>
            </w:r>
          </w:p>
        </w:tc>
        <w:tc>
          <w:tcPr>
            <w:tcW w:w="1980" w:type="dxa"/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r w:rsidRPr="00A90BC1">
              <w:rPr>
                <w:sz w:val="22"/>
                <w:szCs w:val="22"/>
              </w:rPr>
              <w:t>173.84†</w:t>
            </w:r>
          </w:p>
        </w:tc>
      </w:tr>
      <w:tr w:rsidR="00D90B89" w:rsidRPr="00B15B0A" w:rsidTr="00E671A8"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pool</w:t>
            </w:r>
            <w:proofErr w:type="gram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rFonts w:eastAsia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90BC1">
              <w:rPr>
                <w:rFonts w:eastAsia="Times New Roman"/>
                <w:bCs/>
                <w:color w:val="000000"/>
                <w:sz w:val="22"/>
                <w:szCs w:val="22"/>
                <w:shd w:val="clear" w:color="auto" w:fill="FFFFFF"/>
              </w:rPr>
              <w:t>253.52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D90B89" w:rsidRPr="00A90BC1" w:rsidRDefault="00D90B89" w:rsidP="00E671A8">
            <w:pPr>
              <w:spacing w:after="120"/>
              <w:rPr>
                <w:sz w:val="22"/>
                <w:szCs w:val="22"/>
              </w:rPr>
            </w:pPr>
            <w:r w:rsidRPr="00A90BC1">
              <w:rPr>
                <w:sz w:val="22"/>
                <w:szCs w:val="22"/>
              </w:rPr>
              <w:t>251.56</w:t>
            </w:r>
          </w:p>
        </w:tc>
      </w:tr>
    </w:tbl>
    <w:p w:rsidR="00B93228" w:rsidRPr="00B62829" w:rsidRDefault="00B93228" w:rsidP="00867CB1">
      <w:pPr>
        <w:spacing w:after="0" w:line="480" w:lineRule="auto"/>
      </w:pPr>
      <w:bookmarkStart w:id="0" w:name="_GoBack"/>
      <w:bookmarkEnd w:id="0"/>
    </w:p>
    <w:sectPr w:rsidR="00B93228" w:rsidRPr="00B62829" w:rsidSect="000505FE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89"/>
    <w:rsid w:val="000505FE"/>
    <w:rsid w:val="000F3B42"/>
    <w:rsid w:val="00200945"/>
    <w:rsid w:val="002A356F"/>
    <w:rsid w:val="0032638D"/>
    <w:rsid w:val="003627F6"/>
    <w:rsid w:val="003E4F9D"/>
    <w:rsid w:val="00426870"/>
    <w:rsid w:val="00506E8D"/>
    <w:rsid w:val="00510740"/>
    <w:rsid w:val="005344DF"/>
    <w:rsid w:val="006B6CE1"/>
    <w:rsid w:val="006D7DCD"/>
    <w:rsid w:val="007A7F0F"/>
    <w:rsid w:val="00867CB1"/>
    <w:rsid w:val="00A648F2"/>
    <w:rsid w:val="00B62829"/>
    <w:rsid w:val="00B87BF3"/>
    <w:rsid w:val="00B93228"/>
    <w:rsid w:val="00C413DE"/>
    <w:rsid w:val="00CD45EA"/>
    <w:rsid w:val="00D90B8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C89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89"/>
    <w:rPr>
      <w:rFonts w:eastAsia="MS Mincho"/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E8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89"/>
    <w:rPr>
      <w:rFonts w:eastAsia="MS Mincho"/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E8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Macintosh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Brady</dc:creator>
  <cp:keywords/>
  <dc:description/>
  <cp:lastModifiedBy>Steven Brady</cp:lastModifiedBy>
  <cp:revision>1</cp:revision>
  <dcterms:created xsi:type="dcterms:W3CDTF">2013-08-21T20:21:00Z</dcterms:created>
  <dcterms:modified xsi:type="dcterms:W3CDTF">2013-08-21T20:21:00Z</dcterms:modified>
</cp:coreProperties>
</file>