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6" w:rsidRPr="0032370F" w:rsidRDefault="006F3CF6" w:rsidP="006F3CF6">
      <w:pPr>
        <w:spacing w:after="0" w:line="360" w:lineRule="auto"/>
        <w:rPr>
          <w:sz w:val="22"/>
          <w:szCs w:val="22"/>
        </w:rPr>
      </w:pPr>
      <w:r w:rsidRPr="00552522">
        <w:rPr>
          <w:b/>
          <w:sz w:val="22"/>
          <w:szCs w:val="22"/>
        </w:rPr>
        <w:t>Table S3.</w:t>
      </w:r>
      <w:r w:rsidRPr="00B16237">
        <w:rPr>
          <w:sz w:val="22"/>
          <w:szCs w:val="22"/>
        </w:rPr>
        <w:t xml:space="preserve"> </w:t>
      </w:r>
      <w:proofErr w:type="gramStart"/>
      <w:r w:rsidRPr="00B16237">
        <w:rPr>
          <w:sz w:val="22"/>
          <w:szCs w:val="22"/>
        </w:rPr>
        <w:t>Acute exposure model selection results.</w:t>
      </w:r>
      <w:proofErr w:type="gramEnd"/>
      <w:r w:rsidRPr="0032370F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32370F">
        <w:rPr>
          <w:sz w:val="22"/>
          <w:szCs w:val="22"/>
        </w:rPr>
        <w:t xml:space="preserve">andidate models </w:t>
      </w:r>
      <w:r>
        <w:rPr>
          <w:sz w:val="22"/>
          <w:szCs w:val="22"/>
        </w:rPr>
        <w:t>were</w:t>
      </w:r>
      <w:r w:rsidRPr="0032370F">
        <w:rPr>
          <w:sz w:val="22"/>
          <w:szCs w:val="22"/>
        </w:rPr>
        <w:t xml:space="preserve"> composed for survival across the interaction o</w:t>
      </w:r>
      <w:r>
        <w:rPr>
          <w:sz w:val="22"/>
          <w:szCs w:val="22"/>
        </w:rPr>
        <w:t>f genotype (G) x</w:t>
      </w:r>
      <w:r w:rsidRPr="0032370F">
        <w:rPr>
          <w:sz w:val="22"/>
          <w:szCs w:val="22"/>
        </w:rPr>
        <w:t xml:space="preserve"> environment (E); here environment refers to the </w:t>
      </w:r>
      <w:r>
        <w:rPr>
          <w:sz w:val="22"/>
          <w:szCs w:val="22"/>
        </w:rPr>
        <w:t>five</w:t>
      </w:r>
      <w:r w:rsidRPr="0032370F">
        <w:rPr>
          <w:sz w:val="22"/>
          <w:szCs w:val="22"/>
        </w:rPr>
        <w:t xml:space="preserve"> different road salt treatments. The model </w:t>
      </w:r>
      <w:r>
        <w:rPr>
          <w:sz w:val="22"/>
          <w:szCs w:val="22"/>
        </w:rPr>
        <w:t>with</w:t>
      </w:r>
      <w:r w:rsidRPr="0032370F">
        <w:rPr>
          <w:sz w:val="22"/>
          <w:szCs w:val="22"/>
        </w:rPr>
        <w:t xml:space="preserve"> the fewest parameters </w:t>
      </w:r>
      <w:r>
        <w:rPr>
          <w:sz w:val="22"/>
          <w:szCs w:val="22"/>
        </w:rPr>
        <w:t>and</w:t>
      </w:r>
      <w:r w:rsidRPr="0032370F">
        <w:rPr>
          <w:sz w:val="22"/>
          <w:szCs w:val="22"/>
        </w:rPr>
        <w:t xml:space="preserve"> lowest </w:t>
      </w:r>
      <w:proofErr w:type="spellStart"/>
      <w:r w:rsidRPr="0032370F">
        <w:rPr>
          <w:sz w:val="22"/>
          <w:szCs w:val="22"/>
        </w:rPr>
        <w:t>Akaike</w:t>
      </w:r>
      <w:proofErr w:type="spellEnd"/>
      <w:r w:rsidRPr="0032370F">
        <w:rPr>
          <w:sz w:val="22"/>
          <w:szCs w:val="22"/>
        </w:rPr>
        <w:t xml:space="preserve"> Information Criterion (AIC) score by a differential value of less than </w:t>
      </w:r>
      <w:r>
        <w:rPr>
          <w:sz w:val="22"/>
          <w:szCs w:val="22"/>
        </w:rPr>
        <w:t>two</w:t>
      </w:r>
      <w:r w:rsidRPr="0032370F">
        <w:rPr>
          <w:sz w:val="22"/>
          <w:szCs w:val="22"/>
        </w:rPr>
        <w:t xml:space="preserve"> was </w:t>
      </w:r>
      <w:r>
        <w:rPr>
          <w:sz w:val="22"/>
          <w:szCs w:val="22"/>
        </w:rPr>
        <w:t>inferred</w:t>
      </w:r>
      <w:r w:rsidRPr="0032370F">
        <w:rPr>
          <w:sz w:val="22"/>
          <w:szCs w:val="22"/>
        </w:rPr>
        <w:t xml:space="preserve">, and is indicated by a dagger (†). </w:t>
      </w:r>
      <w:r>
        <w:rPr>
          <w:sz w:val="22"/>
          <w:szCs w:val="22"/>
        </w:rPr>
        <w:t>Experiment block was nested within experiment round (“</w:t>
      </w:r>
      <w:proofErr w:type="spellStart"/>
      <w:r>
        <w:rPr>
          <w:sz w:val="22"/>
          <w:szCs w:val="22"/>
        </w:rPr>
        <w:t>rnd</w:t>
      </w:r>
      <w:proofErr w:type="spellEnd"/>
      <w:r>
        <w:rPr>
          <w:sz w:val="22"/>
          <w:szCs w:val="22"/>
        </w:rPr>
        <w:t xml:space="preserve">”) because it was assumed that potential blocking effects would not be independent of experiment round. </w:t>
      </w:r>
      <w:r w:rsidRPr="0032370F">
        <w:rPr>
          <w:sz w:val="22"/>
          <w:szCs w:val="22"/>
        </w:rPr>
        <w:t>An observation level term (“</w:t>
      </w:r>
      <w:proofErr w:type="spellStart"/>
      <w:r w:rsidRPr="0032370F">
        <w:rPr>
          <w:sz w:val="22"/>
          <w:szCs w:val="22"/>
        </w:rPr>
        <w:t>obs</w:t>
      </w:r>
      <w:proofErr w:type="spellEnd"/>
      <w:r w:rsidRPr="0032370F">
        <w:rPr>
          <w:sz w:val="22"/>
          <w:szCs w:val="22"/>
        </w:rPr>
        <w:t>”) was includ</w:t>
      </w:r>
      <w:r>
        <w:rPr>
          <w:sz w:val="22"/>
          <w:szCs w:val="22"/>
        </w:rPr>
        <w:t>ed to test and account for over-dispersion</w:t>
      </w:r>
      <w:r w:rsidRPr="0032370F">
        <w:rPr>
          <w:sz w:val="22"/>
          <w:szCs w:val="22"/>
        </w:rPr>
        <w:t xml:space="preserve">. 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718"/>
        <w:gridCol w:w="2430"/>
        <w:gridCol w:w="1800"/>
        <w:gridCol w:w="1980"/>
      </w:tblGrid>
      <w:tr w:rsidR="006F3CF6" w:rsidRPr="007B52ED" w:rsidTr="00E671A8">
        <w:tc>
          <w:tcPr>
            <w:tcW w:w="27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0"/>
              <w:rPr>
                <w:sz w:val="22"/>
                <w:szCs w:val="22"/>
              </w:rPr>
            </w:pPr>
            <w:r w:rsidRPr="00A90BC1">
              <w:rPr>
                <w:b/>
                <w:sz w:val="22"/>
                <w:szCs w:val="22"/>
              </w:rPr>
              <w:t>Response variable ~ fixed effects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0"/>
              <w:rPr>
                <w:b/>
                <w:i/>
                <w:sz w:val="22"/>
                <w:szCs w:val="22"/>
              </w:rPr>
            </w:pPr>
            <w:r w:rsidRPr="00A90BC1">
              <w:rPr>
                <w:b/>
                <w:i/>
                <w:sz w:val="22"/>
                <w:szCs w:val="22"/>
              </w:rPr>
              <w:t>Random effects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F3CF6" w:rsidRDefault="006F3CF6" w:rsidP="00E671A8">
            <w:pPr>
              <w:spacing w:after="0"/>
              <w:rPr>
                <w:b/>
                <w:sz w:val="22"/>
                <w:szCs w:val="22"/>
              </w:rPr>
            </w:pPr>
            <w:r w:rsidRPr="000E3416">
              <w:rPr>
                <w:b/>
                <w:sz w:val="22"/>
                <w:szCs w:val="22"/>
              </w:rPr>
              <w:t>AIC</w:t>
            </w:r>
            <w:r>
              <w:rPr>
                <w:b/>
                <w:sz w:val="22"/>
                <w:szCs w:val="22"/>
              </w:rPr>
              <w:t xml:space="preserve"> (no embryo</w:t>
            </w:r>
          </w:p>
          <w:p w:rsidR="006F3CF6" w:rsidRPr="000E3416" w:rsidRDefault="006F3CF6" w:rsidP="00E671A8">
            <w:pPr>
              <w:spacing w:after="0"/>
              <w:rPr>
                <w:b/>
                <w:sz w:val="22"/>
                <w:szCs w:val="22"/>
                <w:vertAlign w:val="superscript"/>
              </w:rPr>
            </w:pPr>
            <w:proofErr w:type="gramStart"/>
            <w:r>
              <w:rPr>
                <w:b/>
                <w:sz w:val="22"/>
                <w:szCs w:val="22"/>
              </w:rPr>
              <w:t>size</w:t>
            </w:r>
            <w:proofErr w:type="gramEnd"/>
            <w:r>
              <w:rPr>
                <w:b/>
                <w:sz w:val="22"/>
                <w:szCs w:val="22"/>
              </w:rPr>
              <w:t xml:space="preserve"> covariate)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F3CF6" w:rsidRPr="000E3416" w:rsidRDefault="006F3CF6" w:rsidP="00E671A8">
            <w:pPr>
              <w:spacing w:after="0"/>
              <w:rPr>
                <w:b/>
                <w:sz w:val="22"/>
                <w:szCs w:val="22"/>
              </w:rPr>
            </w:pPr>
            <w:r w:rsidRPr="000E3416">
              <w:rPr>
                <w:b/>
                <w:sz w:val="22"/>
                <w:szCs w:val="22"/>
              </w:rPr>
              <w:t xml:space="preserve">AIC </w:t>
            </w:r>
            <w:r>
              <w:rPr>
                <w:b/>
                <w:sz w:val="22"/>
                <w:szCs w:val="22"/>
              </w:rPr>
              <w:t>(</w:t>
            </w:r>
            <w:r w:rsidRPr="000E3416">
              <w:rPr>
                <w:b/>
                <w:sz w:val="22"/>
                <w:szCs w:val="22"/>
              </w:rPr>
              <w:t>with embryo size covariate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6F3CF6" w:rsidRPr="007B52ED" w:rsidTr="00E671A8">
        <w:tc>
          <w:tcPr>
            <w:tcW w:w="2718" w:type="dxa"/>
            <w:tcBorders>
              <w:top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r w:rsidRPr="00A90BC1">
              <w:rPr>
                <w:sz w:val="22"/>
                <w:szCs w:val="22"/>
              </w:rPr>
              <w:t>Survival ~ G + E</w:t>
            </w:r>
          </w:p>
        </w:tc>
        <w:tc>
          <w:tcPr>
            <w:tcW w:w="2430" w:type="dxa"/>
            <w:tcBorders>
              <w:top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</w:t>
            </w:r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rnd:</w:t>
            </w:r>
            <w:r w:rsidRPr="00A90BC1">
              <w:rPr>
                <w:sz w:val="22"/>
                <w:szCs w:val="22"/>
              </w:rPr>
              <w:t>block+obs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224.92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225.15</w:t>
            </w:r>
          </w:p>
        </w:tc>
      </w:tr>
      <w:tr w:rsidR="006F3CF6" w:rsidRPr="007B52ED" w:rsidTr="00E671A8">
        <w:tc>
          <w:tcPr>
            <w:tcW w:w="2718" w:type="dxa"/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</w:t>
            </w:r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rnd:</w:t>
            </w:r>
            <w:r w:rsidRPr="00A90BC1">
              <w:rPr>
                <w:sz w:val="22"/>
                <w:szCs w:val="22"/>
              </w:rPr>
              <w:t>block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257.06</w:t>
            </w:r>
          </w:p>
        </w:tc>
        <w:tc>
          <w:tcPr>
            <w:tcW w:w="1980" w:type="dxa"/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257.39</w:t>
            </w:r>
          </w:p>
        </w:tc>
      </w:tr>
      <w:tr w:rsidR="006F3CF6" w:rsidRPr="007B52ED" w:rsidTr="00E671A8">
        <w:tc>
          <w:tcPr>
            <w:tcW w:w="2718" w:type="dxa"/>
            <w:tcBorders>
              <w:bottom w:val="single" w:sz="1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</w:t>
            </w:r>
            <w:r w:rsidRPr="00A90BC1">
              <w:rPr>
                <w:sz w:val="22"/>
                <w:szCs w:val="22"/>
              </w:rPr>
              <w:t>+obs</w:t>
            </w:r>
            <w:proofErr w:type="spellEnd"/>
          </w:p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  <w:r w:rsidRPr="00A90BC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rnd</w:t>
            </w:r>
            <w:proofErr w:type="spellEnd"/>
          </w:p>
          <w:p w:rsidR="006F3CF6" w:rsidRPr="00A90BC1" w:rsidRDefault="006F3CF6" w:rsidP="00E671A8">
            <w:pPr>
              <w:spacing w:after="12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  <w:r w:rsidRPr="00A90BC1">
              <w:rPr>
                <w:sz w:val="22"/>
                <w:szCs w:val="22"/>
              </w:rPr>
              <w:t>+obs</w:t>
            </w:r>
            <w:proofErr w:type="spellEnd"/>
          </w:p>
          <w:p w:rsidR="006F3CF6" w:rsidRPr="00A90BC1" w:rsidRDefault="006F3CF6" w:rsidP="00E671A8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pool</w:t>
            </w:r>
            <w:proofErr w:type="gram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222.93</w:t>
            </w:r>
          </w:p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259.55</w:t>
            </w:r>
          </w:p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222.32</w:t>
            </w:r>
            <w:r w:rsidRPr="00A90BC1">
              <w:rPr>
                <w:sz w:val="22"/>
                <w:szCs w:val="22"/>
              </w:rPr>
              <w:t>†</w:t>
            </w:r>
          </w:p>
          <w:p w:rsidR="006F3CF6" w:rsidRPr="00A90BC1" w:rsidRDefault="006F3CF6" w:rsidP="00E671A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259.34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223.16</w:t>
            </w:r>
          </w:p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259.94</w:t>
            </w:r>
          </w:p>
          <w:p w:rsidR="006F3CF6" w:rsidRDefault="006F3CF6" w:rsidP="00E671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222.29</w:t>
            </w:r>
            <w:r w:rsidRPr="00A90BC1">
              <w:rPr>
                <w:sz w:val="22"/>
                <w:szCs w:val="22"/>
              </w:rPr>
              <w:t>†</w:t>
            </w:r>
          </w:p>
          <w:p w:rsidR="006F3CF6" w:rsidRPr="00A90BC1" w:rsidRDefault="006F3CF6" w:rsidP="00E671A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259.51</w:t>
            </w:r>
          </w:p>
        </w:tc>
      </w:tr>
    </w:tbl>
    <w:p w:rsidR="006F3CF6" w:rsidRDefault="006F3CF6" w:rsidP="006F3CF6">
      <w:pPr>
        <w:spacing w:after="0" w:line="360" w:lineRule="auto"/>
        <w:rPr>
          <w:b/>
          <w:sz w:val="22"/>
          <w:szCs w:val="22"/>
        </w:rPr>
      </w:pPr>
    </w:p>
    <w:p w:rsidR="00B93228" w:rsidRPr="00B62829" w:rsidRDefault="00B93228" w:rsidP="00867CB1">
      <w:pPr>
        <w:spacing w:after="0" w:line="480" w:lineRule="auto"/>
      </w:pPr>
      <w:bookmarkStart w:id="0" w:name="_GoBack"/>
      <w:bookmarkEnd w:id="0"/>
    </w:p>
    <w:sectPr w:rsidR="00B93228" w:rsidRPr="00B62829" w:rsidSect="000505F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6"/>
    <w:rsid w:val="000505FE"/>
    <w:rsid w:val="000F3B42"/>
    <w:rsid w:val="00200945"/>
    <w:rsid w:val="002A356F"/>
    <w:rsid w:val="0032638D"/>
    <w:rsid w:val="003627F6"/>
    <w:rsid w:val="003E4F9D"/>
    <w:rsid w:val="00426870"/>
    <w:rsid w:val="00506E8D"/>
    <w:rsid w:val="00510740"/>
    <w:rsid w:val="005344DF"/>
    <w:rsid w:val="006B6CE1"/>
    <w:rsid w:val="006D7DCD"/>
    <w:rsid w:val="006F3CF6"/>
    <w:rsid w:val="007A7F0F"/>
    <w:rsid w:val="00867CB1"/>
    <w:rsid w:val="00A648F2"/>
    <w:rsid w:val="00B62829"/>
    <w:rsid w:val="00B87BF3"/>
    <w:rsid w:val="00B93228"/>
    <w:rsid w:val="00C413DE"/>
    <w:rsid w:val="00CD45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89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F6"/>
    <w:rPr>
      <w:rFonts w:eastAsia="MS Mincho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E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F6"/>
    <w:rPr>
      <w:rFonts w:eastAsia="MS Mincho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E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Brady</dc:creator>
  <cp:keywords/>
  <dc:description/>
  <cp:lastModifiedBy>Steven Brady</cp:lastModifiedBy>
  <cp:revision>1</cp:revision>
  <dcterms:created xsi:type="dcterms:W3CDTF">2013-08-21T20:22:00Z</dcterms:created>
  <dcterms:modified xsi:type="dcterms:W3CDTF">2013-08-21T20:22:00Z</dcterms:modified>
</cp:coreProperties>
</file>