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B4" w:rsidRPr="00747E80" w:rsidRDefault="00747E80" w:rsidP="001964A8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Cs w:val="26"/>
        </w:rPr>
      </w:pPr>
      <w:r w:rsidRPr="00747E80">
        <w:rPr>
          <w:rFonts w:cs="Arial"/>
          <w:b/>
          <w:color w:val="1A1A1A"/>
          <w:szCs w:val="26"/>
        </w:rPr>
        <w:t xml:space="preserve">Table S1. </w:t>
      </w:r>
      <w:r w:rsidR="00B533E7" w:rsidRPr="00747E80">
        <w:rPr>
          <w:rFonts w:cs="Arial"/>
          <w:b/>
          <w:color w:val="1A1A1A"/>
          <w:szCs w:val="26"/>
        </w:rPr>
        <w:t>V</w:t>
      </w:r>
      <w:r w:rsidR="000D69B4" w:rsidRPr="00747E80">
        <w:rPr>
          <w:rFonts w:cs="Arial"/>
          <w:b/>
          <w:color w:val="1A1A1A"/>
          <w:szCs w:val="26"/>
        </w:rPr>
        <w:t>ariance</w:t>
      </w:r>
      <w:r w:rsidR="00B533E7" w:rsidRPr="00747E80">
        <w:rPr>
          <w:rFonts w:cs="Arial"/>
          <w:b/>
          <w:color w:val="1A1A1A"/>
          <w:szCs w:val="26"/>
        </w:rPr>
        <w:t>s</w:t>
      </w:r>
      <w:r w:rsidR="000D69B4" w:rsidRPr="00747E80">
        <w:rPr>
          <w:rFonts w:cs="Arial"/>
          <w:b/>
          <w:color w:val="1A1A1A"/>
          <w:szCs w:val="26"/>
        </w:rPr>
        <w:t xml:space="preserve"> in translation rates estimates</w:t>
      </w:r>
    </w:p>
    <w:p w:rsidR="00774EBC" w:rsidRDefault="00774EBC" w:rsidP="001964A8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3690"/>
        <w:gridCol w:w="1530"/>
        <w:gridCol w:w="1908"/>
      </w:tblGrid>
      <w:tr w:rsidR="00774EBC">
        <w:tc>
          <w:tcPr>
            <w:tcW w:w="1728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b/>
                <w:color w:val="1A1A1A"/>
                <w:sz w:val="18"/>
                <w:szCs w:val="26"/>
              </w:rPr>
              <w:t>Cell line</w:t>
            </w:r>
          </w:p>
        </w:tc>
        <w:tc>
          <w:tcPr>
            <w:tcW w:w="3690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b/>
                <w:color w:val="1A1A1A"/>
                <w:sz w:val="18"/>
                <w:szCs w:val="26"/>
              </w:rPr>
              <w:t>Dataset</w:t>
            </w:r>
          </w:p>
        </w:tc>
        <w:tc>
          <w:tcPr>
            <w:tcW w:w="1530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b/>
                <w:color w:val="1A1A1A"/>
                <w:sz w:val="18"/>
                <w:szCs w:val="26"/>
              </w:rPr>
              <w:t># genes</w:t>
            </w:r>
          </w:p>
        </w:tc>
        <w:tc>
          <w:tcPr>
            <w:tcW w:w="1908" w:type="dxa"/>
          </w:tcPr>
          <w:p w:rsidR="00774EBC" w:rsidRPr="00774EBC" w:rsidRDefault="00F14C30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sz w:val="18"/>
                <w:szCs w:val="26"/>
              </w:rPr>
            </w:pPr>
            <w:r>
              <w:rPr>
                <w:rFonts w:cs="Arial"/>
                <w:b/>
                <w:color w:val="1A1A1A"/>
                <w:sz w:val="18"/>
                <w:szCs w:val="26"/>
              </w:rPr>
              <w:t>v</w:t>
            </w:r>
            <w:r w:rsidR="00774EBC" w:rsidRPr="00774EBC">
              <w:rPr>
                <w:rFonts w:cs="Arial"/>
                <w:b/>
                <w:color w:val="1A1A1A"/>
                <w:sz w:val="18"/>
                <w:szCs w:val="26"/>
              </w:rPr>
              <w:t>ariance</w:t>
            </w:r>
            <w:r w:rsidR="001571AB">
              <w:rPr>
                <w:rFonts w:cs="Arial"/>
                <w:b/>
                <w:color w:val="1A1A1A"/>
                <w:sz w:val="18"/>
                <w:szCs w:val="26"/>
              </w:rPr>
              <w:t>*</w:t>
            </w:r>
          </w:p>
        </w:tc>
      </w:tr>
      <w:tr w:rsidR="00774EBC">
        <w:tc>
          <w:tcPr>
            <w:tcW w:w="1728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color w:val="1A1A1A"/>
                <w:sz w:val="18"/>
                <w:szCs w:val="26"/>
              </w:rPr>
              <w:t>NIH3T3</w:t>
            </w:r>
            <w:r w:rsidR="00976BC2">
              <w:rPr>
                <w:rFonts w:cs="Arial"/>
                <w:color w:val="1A1A1A"/>
                <w:sz w:val="18"/>
                <w:szCs w:val="26"/>
              </w:rPr>
              <w:t>, mouse</w:t>
            </w:r>
          </w:p>
        </w:tc>
        <w:tc>
          <w:tcPr>
            <w:tcW w:w="3690" w:type="dxa"/>
          </w:tcPr>
          <w:p w:rsidR="00774EBC" w:rsidRPr="00774EBC" w:rsidRDefault="00774EBC" w:rsidP="00976BC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color w:val="1A1A1A"/>
                <w:sz w:val="18"/>
                <w:szCs w:val="26"/>
              </w:rPr>
              <w:t>Inferred</w:t>
            </w:r>
            <w:r w:rsidR="00976BC2">
              <w:rPr>
                <w:rFonts w:cs="Arial"/>
                <w:color w:val="1A1A1A"/>
                <w:sz w:val="18"/>
                <w:szCs w:val="26"/>
              </w:rPr>
              <w:t xml:space="preserve">, </w:t>
            </w:r>
            <w:r w:rsidR="000D69B4">
              <w:rPr>
                <w:rFonts w:cs="Arial"/>
                <w:color w:val="1A1A1A"/>
                <w:sz w:val="18"/>
                <w:szCs w:val="26"/>
              </w:rPr>
              <w:t>Schwanhau</w:t>
            </w:r>
            <w:r w:rsidRPr="00774EBC">
              <w:rPr>
                <w:rFonts w:cs="Arial"/>
                <w:color w:val="1A1A1A"/>
                <w:sz w:val="18"/>
                <w:szCs w:val="26"/>
              </w:rPr>
              <w:t xml:space="preserve">sser </w:t>
            </w:r>
            <w:r w:rsidR="00976BC2">
              <w:rPr>
                <w:rFonts w:cs="Arial"/>
                <w:color w:val="1A1A1A"/>
                <w:sz w:val="18"/>
                <w:szCs w:val="26"/>
              </w:rPr>
              <w:t>all</w:t>
            </w:r>
            <w:r w:rsidR="000D69B4" w:rsidRPr="008C25E2">
              <w:rPr>
                <w:rFonts w:cs="Arial"/>
                <w:color w:val="1A1A1A"/>
                <w:sz w:val="18"/>
                <w:szCs w:val="26"/>
                <w:vertAlign w:val="superscript"/>
              </w:rPr>
              <w:t>a</w:t>
            </w:r>
          </w:p>
        </w:tc>
        <w:tc>
          <w:tcPr>
            <w:tcW w:w="1530" w:type="dxa"/>
          </w:tcPr>
          <w:p w:rsidR="00774EBC" w:rsidRPr="00774EBC" w:rsidRDefault="00976BC2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3,</w:t>
            </w:r>
            <w:r w:rsidR="006432D7">
              <w:rPr>
                <w:rFonts w:cs="Arial"/>
                <w:color w:val="1A1A1A"/>
                <w:sz w:val="18"/>
                <w:szCs w:val="26"/>
              </w:rPr>
              <w:t>569</w:t>
            </w:r>
          </w:p>
        </w:tc>
        <w:tc>
          <w:tcPr>
            <w:tcW w:w="1908" w:type="dxa"/>
          </w:tcPr>
          <w:p w:rsidR="00774EBC" w:rsidRPr="008314C1" w:rsidRDefault="006432D7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6432D7">
              <w:rPr>
                <w:rFonts w:cs="Arial"/>
                <w:sz w:val="18"/>
                <w:szCs w:val="32"/>
              </w:rPr>
              <w:t>0.3810264</w:t>
            </w:r>
          </w:p>
        </w:tc>
      </w:tr>
      <w:tr w:rsidR="00774EBC">
        <w:tc>
          <w:tcPr>
            <w:tcW w:w="1728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color w:val="1A1A1A"/>
                <w:sz w:val="18"/>
                <w:szCs w:val="26"/>
              </w:rPr>
              <w:t>NIH3T3</w:t>
            </w:r>
            <w:r w:rsidR="00976BC2">
              <w:rPr>
                <w:rFonts w:cs="Arial"/>
                <w:color w:val="1A1A1A"/>
                <w:sz w:val="18"/>
                <w:szCs w:val="26"/>
              </w:rPr>
              <w:t>, mouse</w:t>
            </w:r>
          </w:p>
        </w:tc>
        <w:tc>
          <w:tcPr>
            <w:tcW w:w="3690" w:type="dxa"/>
          </w:tcPr>
          <w:p w:rsidR="00774EBC" w:rsidRPr="00774EBC" w:rsidRDefault="00976BC2" w:rsidP="00951EF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color w:val="1A1A1A"/>
                <w:sz w:val="18"/>
                <w:szCs w:val="26"/>
              </w:rPr>
              <w:t>Inferred</w:t>
            </w:r>
            <w:r>
              <w:rPr>
                <w:rFonts w:cs="Arial"/>
                <w:color w:val="1A1A1A"/>
                <w:sz w:val="18"/>
                <w:szCs w:val="26"/>
              </w:rPr>
              <w:t xml:space="preserve">, </w:t>
            </w:r>
            <w:r w:rsidR="000D69B4">
              <w:rPr>
                <w:rFonts w:cs="Arial"/>
                <w:color w:val="1A1A1A"/>
                <w:sz w:val="18"/>
                <w:szCs w:val="26"/>
              </w:rPr>
              <w:t>Schwanhau</w:t>
            </w:r>
            <w:r w:rsidRPr="00774EBC">
              <w:rPr>
                <w:rFonts w:cs="Arial"/>
                <w:color w:val="1A1A1A"/>
                <w:sz w:val="18"/>
                <w:szCs w:val="26"/>
              </w:rPr>
              <w:t>sser</w:t>
            </w:r>
            <w:r>
              <w:rPr>
                <w:rFonts w:cs="Arial"/>
                <w:color w:val="1A1A1A"/>
                <w:sz w:val="18"/>
                <w:szCs w:val="26"/>
              </w:rPr>
              <w:t xml:space="preserve"> intersect</w:t>
            </w:r>
            <w:r w:rsidR="000D69B4" w:rsidRPr="008C25E2">
              <w:rPr>
                <w:rFonts w:cs="Arial"/>
                <w:color w:val="1A1A1A"/>
                <w:sz w:val="18"/>
                <w:szCs w:val="26"/>
                <w:vertAlign w:val="superscript"/>
              </w:rPr>
              <w:t>b</w:t>
            </w:r>
          </w:p>
        </w:tc>
        <w:tc>
          <w:tcPr>
            <w:tcW w:w="1530" w:type="dxa"/>
          </w:tcPr>
          <w:p w:rsidR="00774EBC" w:rsidRPr="00774EBC" w:rsidRDefault="00976BC2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3,</w:t>
            </w:r>
            <w:r w:rsidR="006432D7">
              <w:rPr>
                <w:rFonts w:cs="Arial"/>
                <w:color w:val="1A1A1A"/>
                <w:sz w:val="18"/>
                <w:szCs w:val="26"/>
              </w:rPr>
              <w:t>079</w:t>
            </w:r>
          </w:p>
        </w:tc>
        <w:tc>
          <w:tcPr>
            <w:tcW w:w="1908" w:type="dxa"/>
          </w:tcPr>
          <w:p w:rsidR="00774EBC" w:rsidRPr="008314C1" w:rsidRDefault="006432D7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6432D7">
              <w:rPr>
                <w:rFonts w:cs="Arial"/>
                <w:sz w:val="18"/>
                <w:szCs w:val="26"/>
              </w:rPr>
              <w:t>0.3652986</w:t>
            </w:r>
          </w:p>
        </w:tc>
      </w:tr>
      <w:tr w:rsidR="00774EBC">
        <w:tc>
          <w:tcPr>
            <w:tcW w:w="1728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color w:val="1A1A1A"/>
                <w:sz w:val="18"/>
                <w:szCs w:val="26"/>
              </w:rPr>
              <w:t>NIH3T3</w:t>
            </w:r>
            <w:r w:rsidR="00976BC2">
              <w:rPr>
                <w:rFonts w:cs="Arial"/>
                <w:color w:val="1A1A1A"/>
                <w:sz w:val="18"/>
                <w:szCs w:val="26"/>
              </w:rPr>
              <w:t>, mouse</w:t>
            </w:r>
          </w:p>
        </w:tc>
        <w:tc>
          <w:tcPr>
            <w:tcW w:w="3690" w:type="dxa"/>
          </w:tcPr>
          <w:p w:rsidR="00774EBC" w:rsidRPr="00774EBC" w:rsidRDefault="00976BC2" w:rsidP="00F7684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 xml:space="preserve">Ribo </w:t>
            </w:r>
            <w:r w:rsidRPr="00976BC2">
              <w:rPr>
                <w:rFonts w:cs="Arial"/>
                <w:color w:val="1A1A1A"/>
                <w:sz w:val="18"/>
                <w:szCs w:val="26"/>
              </w:rPr>
              <w:t xml:space="preserve">FP, </w:t>
            </w:r>
            <w:r w:rsidR="006D6F9D">
              <w:rPr>
                <w:rFonts w:cs="Arial"/>
                <w:color w:val="1A1A1A"/>
                <w:sz w:val="18"/>
                <w:szCs w:val="26"/>
              </w:rPr>
              <w:t>Subteln</w:t>
            </w:r>
            <w:r w:rsidR="00F43AA0">
              <w:rPr>
                <w:rFonts w:cs="Arial"/>
                <w:color w:val="1A1A1A"/>
                <w:sz w:val="18"/>
                <w:szCs w:val="26"/>
              </w:rPr>
              <w:t>y</w:t>
            </w:r>
            <w:r w:rsidR="000D69B4" w:rsidRPr="008C25E2">
              <w:rPr>
                <w:rFonts w:cs="Arial"/>
                <w:color w:val="1A1A1A"/>
                <w:sz w:val="18"/>
                <w:szCs w:val="26"/>
                <w:vertAlign w:val="superscript"/>
              </w:rPr>
              <w:t>c</w:t>
            </w:r>
          </w:p>
        </w:tc>
        <w:tc>
          <w:tcPr>
            <w:tcW w:w="1530" w:type="dxa"/>
          </w:tcPr>
          <w:p w:rsidR="00774EBC" w:rsidRPr="00774EBC" w:rsidRDefault="00976BC2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6,012</w:t>
            </w:r>
          </w:p>
        </w:tc>
        <w:tc>
          <w:tcPr>
            <w:tcW w:w="1908" w:type="dxa"/>
          </w:tcPr>
          <w:p w:rsidR="00774EBC" w:rsidRPr="008314C1" w:rsidRDefault="00F30A31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8314C1">
              <w:rPr>
                <w:rFonts w:cs="Arial"/>
                <w:sz w:val="18"/>
                <w:szCs w:val="26"/>
              </w:rPr>
              <w:t>0.04070817</w:t>
            </w:r>
          </w:p>
        </w:tc>
      </w:tr>
      <w:tr w:rsidR="00774EBC">
        <w:tc>
          <w:tcPr>
            <w:tcW w:w="1728" w:type="dxa"/>
          </w:tcPr>
          <w:p w:rsidR="00774EBC" w:rsidRPr="00774EBC" w:rsidRDefault="00774EBC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 w:rsidRPr="00774EBC">
              <w:rPr>
                <w:rFonts w:cs="Arial"/>
                <w:color w:val="1A1A1A"/>
                <w:sz w:val="18"/>
                <w:szCs w:val="26"/>
              </w:rPr>
              <w:t>NIH3T3</w:t>
            </w:r>
            <w:r w:rsidR="00976BC2">
              <w:rPr>
                <w:rFonts w:cs="Arial"/>
                <w:color w:val="1A1A1A"/>
                <w:sz w:val="18"/>
                <w:szCs w:val="26"/>
              </w:rPr>
              <w:t>, mouse</w:t>
            </w:r>
          </w:p>
        </w:tc>
        <w:tc>
          <w:tcPr>
            <w:tcW w:w="3690" w:type="dxa"/>
          </w:tcPr>
          <w:p w:rsidR="00774EBC" w:rsidRPr="00774EBC" w:rsidRDefault="00976BC2" w:rsidP="00F7684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 xml:space="preserve">Ribo FP, </w:t>
            </w:r>
            <w:r w:rsidR="006D6F9D">
              <w:rPr>
                <w:rFonts w:cs="Arial"/>
                <w:color w:val="1A1A1A"/>
                <w:sz w:val="18"/>
                <w:szCs w:val="26"/>
              </w:rPr>
              <w:t>Subteln</w:t>
            </w:r>
            <w:r w:rsidR="00F76849">
              <w:rPr>
                <w:rFonts w:cs="Arial"/>
                <w:color w:val="1A1A1A"/>
                <w:sz w:val="18"/>
                <w:szCs w:val="26"/>
              </w:rPr>
              <w:t xml:space="preserve">y </w:t>
            </w:r>
            <w:r w:rsidR="00951EFE">
              <w:rPr>
                <w:rFonts w:cs="Arial"/>
                <w:color w:val="1A1A1A"/>
                <w:sz w:val="18"/>
                <w:szCs w:val="26"/>
              </w:rPr>
              <w:t>intersect</w:t>
            </w:r>
            <w:r w:rsidR="000D69B4" w:rsidRPr="008C25E2">
              <w:rPr>
                <w:rFonts w:cs="Arial"/>
                <w:color w:val="1A1A1A"/>
                <w:sz w:val="18"/>
                <w:szCs w:val="26"/>
                <w:vertAlign w:val="superscript"/>
              </w:rPr>
              <w:t>d</w:t>
            </w:r>
          </w:p>
        </w:tc>
        <w:tc>
          <w:tcPr>
            <w:tcW w:w="1530" w:type="dxa"/>
          </w:tcPr>
          <w:p w:rsidR="00774EBC" w:rsidRPr="00774EBC" w:rsidRDefault="00976BC2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3,</w:t>
            </w:r>
            <w:r w:rsidR="006432D7">
              <w:rPr>
                <w:rFonts w:cs="Arial"/>
                <w:color w:val="1A1A1A"/>
                <w:sz w:val="18"/>
                <w:szCs w:val="26"/>
              </w:rPr>
              <w:t>079</w:t>
            </w:r>
            <w:bookmarkStart w:id="0" w:name="_GoBack"/>
            <w:bookmarkEnd w:id="0"/>
          </w:p>
        </w:tc>
        <w:tc>
          <w:tcPr>
            <w:tcW w:w="1908" w:type="dxa"/>
          </w:tcPr>
          <w:p w:rsidR="00774EBC" w:rsidRPr="008314C1" w:rsidRDefault="006432D7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6432D7">
              <w:rPr>
                <w:rFonts w:cs="Arial"/>
                <w:sz w:val="18"/>
                <w:szCs w:val="26"/>
              </w:rPr>
              <w:t>0.0333363</w:t>
            </w:r>
          </w:p>
        </w:tc>
      </w:tr>
      <w:tr w:rsidR="00774EBC">
        <w:tc>
          <w:tcPr>
            <w:tcW w:w="1728" w:type="dxa"/>
          </w:tcPr>
          <w:p w:rsidR="00774EBC" w:rsidRPr="00774EBC" w:rsidRDefault="00951EFE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Neutrophil, mouse</w:t>
            </w:r>
          </w:p>
        </w:tc>
        <w:tc>
          <w:tcPr>
            <w:tcW w:w="3690" w:type="dxa"/>
          </w:tcPr>
          <w:p w:rsidR="00774EBC" w:rsidRPr="00774EBC" w:rsidRDefault="00F76849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Ribo FP, Guo</w:t>
            </w:r>
            <w:r w:rsidR="009C4264" w:rsidRPr="009C4264">
              <w:rPr>
                <w:rFonts w:cs="Arial"/>
                <w:color w:val="1A1A1A"/>
                <w:sz w:val="18"/>
                <w:szCs w:val="26"/>
                <w:vertAlign w:val="superscript"/>
              </w:rPr>
              <w:t>e</w:t>
            </w:r>
          </w:p>
        </w:tc>
        <w:tc>
          <w:tcPr>
            <w:tcW w:w="1530" w:type="dxa"/>
          </w:tcPr>
          <w:p w:rsidR="00774EBC" w:rsidRPr="00774EBC" w:rsidRDefault="00F30A31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5,796</w:t>
            </w:r>
          </w:p>
        </w:tc>
        <w:tc>
          <w:tcPr>
            <w:tcW w:w="1908" w:type="dxa"/>
          </w:tcPr>
          <w:p w:rsidR="00774EBC" w:rsidRPr="008314C1" w:rsidRDefault="00F30A31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8314C1">
              <w:rPr>
                <w:rFonts w:cs="Arial"/>
                <w:sz w:val="18"/>
                <w:szCs w:val="32"/>
              </w:rPr>
              <w:t>0.04145488</w:t>
            </w:r>
          </w:p>
        </w:tc>
      </w:tr>
      <w:tr w:rsidR="00774EBC">
        <w:tc>
          <w:tcPr>
            <w:tcW w:w="1728" w:type="dxa"/>
          </w:tcPr>
          <w:p w:rsidR="00774EBC" w:rsidRPr="00774EBC" w:rsidRDefault="00951EFE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 xml:space="preserve">HeLa, </w:t>
            </w:r>
            <w:r w:rsidR="004D110E">
              <w:rPr>
                <w:rFonts w:cs="Arial"/>
                <w:color w:val="1A1A1A"/>
                <w:sz w:val="18"/>
                <w:szCs w:val="26"/>
              </w:rPr>
              <w:t>human</w:t>
            </w:r>
          </w:p>
        </w:tc>
        <w:tc>
          <w:tcPr>
            <w:tcW w:w="3690" w:type="dxa"/>
          </w:tcPr>
          <w:p w:rsidR="00774EBC" w:rsidRPr="00774EBC" w:rsidRDefault="00951EFE" w:rsidP="00951EF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 xml:space="preserve">Ribo </w:t>
            </w:r>
            <w:r w:rsidRPr="00976BC2">
              <w:rPr>
                <w:rFonts w:cs="Arial"/>
                <w:color w:val="1A1A1A"/>
                <w:sz w:val="18"/>
                <w:szCs w:val="26"/>
              </w:rPr>
              <w:t xml:space="preserve">FP, </w:t>
            </w:r>
            <w:r w:rsidR="00F76849">
              <w:rPr>
                <w:rFonts w:cs="Arial"/>
                <w:color w:val="1A1A1A"/>
                <w:sz w:val="18"/>
                <w:szCs w:val="26"/>
              </w:rPr>
              <w:t>Guo</w:t>
            </w:r>
            <w:r w:rsidR="00720DF0">
              <w:rPr>
                <w:rFonts w:cs="Arial"/>
                <w:color w:val="1A1A1A"/>
                <w:sz w:val="18"/>
                <w:szCs w:val="26"/>
                <w:vertAlign w:val="superscript"/>
              </w:rPr>
              <w:t>e</w:t>
            </w:r>
          </w:p>
        </w:tc>
        <w:tc>
          <w:tcPr>
            <w:tcW w:w="1530" w:type="dxa"/>
          </w:tcPr>
          <w:p w:rsidR="00774EBC" w:rsidRPr="00774EBC" w:rsidRDefault="00951EFE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5,742</w:t>
            </w:r>
          </w:p>
        </w:tc>
        <w:tc>
          <w:tcPr>
            <w:tcW w:w="1908" w:type="dxa"/>
          </w:tcPr>
          <w:p w:rsidR="00774EBC" w:rsidRPr="008314C1" w:rsidRDefault="00751968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8314C1">
              <w:rPr>
                <w:rFonts w:cs="Arial"/>
                <w:sz w:val="18"/>
                <w:szCs w:val="32"/>
              </w:rPr>
              <w:t>0.08086076</w:t>
            </w:r>
          </w:p>
        </w:tc>
      </w:tr>
      <w:tr w:rsidR="00774EBC">
        <w:tc>
          <w:tcPr>
            <w:tcW w:w="1728" w:type="dxa"/>
          </w:tcPr>
          <w:p w:rsidR="00774EBC" w:rsidRPr="00774EBC" w:rsidRDefault="00ED3419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ES, mouse</w:t>
            </w:r>
          </w:p>
        </w:tc>
        <w:tc>
          <w:tcPr>
            <w:tcW w:w="3690" w:type="dxa"/>
          </w:tcPr>
          <w:p w:rsidR="00774EBC" w:rsidRPr="00774EBC" w:rsidRDefault="00556AB3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Ribo FP, Ingolia</w:t>
            </w:r>
            <w:r w:rsidR="00720DF0" w:rsidRPr="004B15B0">
              <w:rPr>
                <w:rFonts w:cs="Arial"/>
                <w:color w:val="1A1A1A"/>
                <w:sz w:val="18"/>
                <w:szCs w:val="26"/>
                <w:vertAlign w:val="superscript"/>
              </w:rPr>
              <w:t>f</w:t>
            </w:r>
          </w:p>
        </w:tc>
        <w:tc>
          <w:tcPr>
            <w:tcW w:w="1530" w:type="dxa"/>
          </w:tcPr>
          <w:p w:rsidR="00774EBC" w:rsidRPr="00774EBC" w:rsidRDefault="00ED3419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18"/>
                <w:szCs w:val="26"/>
              </w:rPr>
            </w:pPr>
            <w:r>
              <w:rPr>
                <w:rFonts w:cs="Arial"/>
                <w:color w:val="1A1A1A"/>
                <w:sz w:val="18"/>
                <w:szCs w:val="26"/>
              </w:rPr>
              <w:t>10,217</w:t>
            </w:r>
          </w:p>
        </w:tc>
        <w:tc>
          <w:tcPr>
            <w:tcW w:w="1908" w:type="dxa"/>
          </w:tcPr>
          <w:p w:rsidR="00774EBC" w:rsidRPr="008314C1" w:rsidRDefault="00F30A31" w:rsidP="001964A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6"/>
              </w:rPr>
            </w:pPr>
            <w:r w:rsidRPr="008314C1">
              <w:rPr>
                <w:rFonts w:cs="Arial"/>
                <w:sz w:val="18"/>
                <w:szCs w:val="32"/>
              </w:rPr>
              <w:t>0.06213300</w:t>
            </w:r>
          </w:p>
        </w:tc>
      </w:tr>
    </w:tbl>
    <w:p w:rsidR="001571AB" w:rsidRDefault="001571AB" w:rsidP="001964A8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0D69B4" w:rsidRPr="00F14C30" w:rsidRDefault="001571AB" w:rsidP="00F14C30">
      <w:pPr>
        <w:widowControl w:val="0"/>
        <w:autoSpaceDE w:val="0"/>
        <w:autoSpaceDN w:val="0"/>
        <w:adjustRightInd w:val="0"/>
        <w:ind w:left="90" w:hanging="90"/>
        <w:rPr>
          <w:rFonts w:cs="Arial"/>
          <w:color w:val="1A1A1A"/>
          <w:sz w:val="18"/>
          <w:szCs w:val="26"/>
        </w:rPr>
      </w:pPr>
      <w:r w:rsidRPr="00F14C30">
        <w:rPr>
          <w:rFonts w:cs="Arial"/>
          <w:color w:val="1A1A1A"/>
          <w:sz w:val="18"/>
          <w:szCs w:val="26"/>
        </w:rPr>
        <w:t xml:space="preserve">* </w:t>
      </w:r>
      <w:r w:rsidR="00F14C30">
        <w:rPr>
          <w:rFonts w:cs="Arial"/>
          <w:color w:val="1A1A1A"/>
          <w:sz w:val="18"/>
          <w:szCs w:val="26"/>
        </w:rPr>
        <w:t>R</w:t>
      </w:r>
      <w:r w:rsidRPr="00F14C30">
        <w:rPr>
          <w:rFonts w:cs="Arial"/>
          <w:color w:val="1A1A1A"/>
          <w:sz w:val="18"/>
          <w:szCs w:val="26"/>
        </w:rPr>
        <w:t xml:space="preserve">eplica data is available </w:t>
      </w:r>
      <w:r w:rsidR="00F14C30" w:rsidRPr="00F14C30">
        <w:rPr>
          <w:rFonts w:cs="Arial"/>
          <w:color w:val="1A1A1A"/>
          <w:sz w:val="18"/>
          <w:szCs w:val="26"/>
        </w:rPr>
        <w:t xml:space="preserve">for all genes </w:t>
      </w:r>
      <w:r w:rsidR="00BC5FB9">
        <w:rPr>
          <w:rFonts w:cs="Arial"/>
          <w:color w:val="1A1A1A"/>
          <w:sz w:val="18"/>
          <w:szCs w:val="26"/>
        </w:rPr>
        <w:t xml:space="preserve">used </w:t>
      </w:r>
      <w:r w:rsidR="00F14C30">
        <w:rPr>
          <w:rFonts w:cs="Arial"/>
          <w:color w:val="1A1A1A"/>
          <w:sz w:val="18"/>
          <w:szCs w:val="26"/>
        </w:rPr>
        <w:t xml:space="preserve">for the NIH3T3 datasets. In these cases, </w:t>
      </w:r>
      <w:r w:rsidRPr="00F14C30">
        <w:rPr>
          <w:rFonts w:cs="Arial"/>
          <w:color w:val="1A1A1A"/>
          <w:sz w:val="18"/>
          <w:szCs w:val="26"/>
        </w:rPr>
        <w:t>the mean</w:t>
      </w:r>
      <w:r w:rsidR="00F14C30">
        <w:rPr>
          <w:rFonts w:cs="Arial"/>
          <w:color w:val="1A1A1A"/>
          <w:sz w:val="18"/>
          <w:szCs w:val="26"/>
        </w:rPr>
        <w:t>s</w:t>
      </w:r>
      <w:r w:rsidRPr="00F14C30">
        <w:rPr>
          <w:rFonts w:cs="Arial"/>
          <w:color w:val="1A1A1A"/>
          <w:sz w:val="18"/>
          <w:szCs w:val="26"/>
        </w:rPr>
        <w:t xml:space="preserve"> of </w:t>
      </w:r>
      <w:r w:rsidR="00F14C30">
        <w:rPr>
          <w:rFonts w:cs="Arial"/>
          <w:color w:val="1A1A1A"/>
          <w:sz w:val="18"/>
          <w:szCs w:val="26"/>
        </w:rPr>
        <w:t xml:space="preserve">each pair of </w:t>
      </w:r>
      <w:r w:rsidRPr="00F14C30">
        <w:rPr>
          <w:rFonts w:cs="Arial"/>
          <w:color w:val="1A1A1A"/>
          <w:sz w:val="18"/>
          <w:szCs w:val="26"/>
        </w:rPr>
        <w:t xml:space="preserve">measurements was calculated and the variance of these means </w:t>
      </w:r>
      <w:r w:rsidR="00F14C30">
        <w:rPr>
          <w:rFonts w:cs="Arial"/>
          <w:color w:val="1A1A1A"/>
          <w:sz w:val="18"/>
          <w:szCs w:val="26"/>
        </w:rPr>
        <w:t xml:space="preserve">is </w:t>
      </w:r>
      <w:r w:rsidRPr="00F14C30">
        <w:rPr>
          <w:rFonts w:cs="Arial"/>
          <w:color w:val="1A1A1A"/>
          <w:sz w:val="18"/>
          <w:szCs w:val="26"/>
        </w:rPr>
        <w:t xml:space="preserve">given. </w:t>
      </w:r>
      <w:r w:rsidR="00163594">
        <w:rPr>
          <w:rFonts w:cs="Arial"/>
          <w:color w:val="1A1A1A"/>
          <w:sz w:val="18"/>
          <w:szCs w:val="26"/>
        </w:rPr>
        <w:t xml:space="preserve">The data </w:t>
      </w:r>
      <w:r w:rsidR="00842CD5">
        <w:rPr>
          <w:rFonts w:cs="Arial"/>
          <w:color w:val="1A1A1A"/>
          <w:sz w:val="18"/>
          <w:szCs w:val="26"/>
        </w:rPr>
        <w:t xml:space="preserve">for </w:t>
      </w:r>
      <w:r w:rsidR="00163594">
        <w:rPr>
          <w:rFonts w:cs="Arial"/>
          <w:color w:val="1A1A1A"/>
          <w:sz w:val="18"/>
          <w:szCs w:val="26"/>
        </w:rPr>
        <w:t>Schwanhausser et al. is from Dataset S1</w:t>
      </w:r>
      <w:r w:rsidR="00163594" w:rsidRPr="00163594">
        <w:rPr>
          <w:rFonts w:cs="Arial"/>
          <w:color w:val="1A1A1A"/>
          <w:sz w:val="18"/>
          <w:szCs w:val="26"/>
        </w:rPr>
        <w:t>. T</w:t>
      </w:r>
      <w:r w:rsidR="00BC5FB9">
        <w:rPr>
          <w:rFonts w:cs="Arial"/>
          <w:color w:val="1A1A1A"/>
          <w:sz w:val="18"/>
          <w:szCs w:val="26"/>
        </w:rPr>
        <w:t xml:space="preserve">he data </w:t>
      </w:r>
      <w:r w:rsidR="00842CD5">
        <w:rPr>
          <w:rFonts w:cs="Arial"/>
          <w:color w:val="1A1A1A"/>
          <w:sz w:val="18"/>
          <w:szCs w:val="26"/>
        </w:rPr>
        <w:t>for</w:t>
      </w:r>
      <w:r w:rsidR="006D6F9D">
        <w:rPr>
          <w:rFonts w:cs="Arial"/>
          <w:color w:val="1A1A1A"/>
          <w:sz w:val="18"/>
          <w:szCs w:val="26"/>
        </w:rPr>
        <w:t xml:space="preserve"> Subteln</w:t>
      </w:r>
      <w:r w:rsidR="00BC5FB9">
        <w:rPr>
          <w:rFonts w:cs="Arial"/>
          <w:color w:val="1A1A1A"/>
          <w:sz w:val="18"/>
          <w:szCs w:val="26"/>
        </w:rPr>
        <w:t xml:space="preserve">y et al. is </w:t>
      </w:r>
      <w:r w:rsidR="00163594" w:rsidRPr="00163594">
        <w:rPr>
          <w:sz w:val="18"/>
        </w:rPr>
        <w:t xml:space="preserve">the </w:t>
      </w:r>
      <w:r w:rsidR="00163594" w:rsidRPr="00163594">
        <w:rPr>
          <w:rFonts w:cs="Arial"/>
          <w:color w:val="1A1A1A"/>
          <w:sz w:val="18"/>
          <w:szCs w:val="28"/>
        </w:rPr>
        <w:t xml:space="preserve">miR-155 and miR-1 </w:t>
      </w:r>
      <w:r w:rsidR="00842CD5">
        <w:rPr>
          <w:rFonts w:cs="Arial"/>
          <w:color w:val="1A1A1A"/>
          <w:sz w:val="18"/>
          <w:szCs w:val="28"/>
        </w:rPr>
        <w:t>NIH3T3 cell line</w:t>
      </w:r>
      <w:r w:rsidR="00163594" w:rsidRPr="00163594">
        <w:rPr>
          <w:rFonts w:cs="Arial"/>
          <w:color w:val="1A1A1A"/>
          <w:sz w:val="18"/>
          <w:szCs w:val="28"/>
        </w:rPr>
        <w:t xml:space="preserve"> </w:t>
      </w:r>
      <w:r w:rsidR="00BC5FB9">
        <w:rPr>
          <w:rFonts w:cs="Arial"/>
          <w:color w:val="1A1A1A"/>
          <w:sz w:val="18"/>
          <w:szCs w:val="28"/>
        </w:rPr>
        <w:t xml:space="preserve">data from </w:t>
      </w:r>
      <w:r w:rsidR="00163594" w:rsidRPr="00163594">
        <w:rPr>
          <w:rFonts w:cs="Arial"/>
          <w:color w:val="1A1A1A"/>
          <w:sz w:val="18"/>
          <w:szCs w:val="28"/>
        </w:rPr>
        <w:t>GEO GSE52809</w:t>
      </w:r>
      <w:r w:rsidR="00163594" w:rsidRPr="00BC5FB9">
        <w:rPr>
          <w:rFonts w:cs="Arial"/>
          <w:color w:val="1A1A1A"/>
          <w:sz w:val="18"/>
          <w:szCs w:val="28"/>
        </w:rPr>
        <w:t xml:space="preserve">. </w:t>
      </w:r>
      <w:r w:rsidR="00F70C16" w:rsidRPr="00BC5FB9">
        <w:rPr>
          <w:rFonts w:cs="Arial"/>
          <w:color w:val="1A1A1A"/>
          <w:sz w:val="18"/>
          <w:szCs w:val="26"/>
        </w:rPr>
        <w:t>For</w:t>
      </w:r>
      <w:r w:rsidR="00F70C16">
        <w:rPr>
          <w:rFonts w:cs="Arial"/>
          <w:color w:val="1A1A1A"/>
          <w:sz w:val="18"/>
          <w:szCs w:val="26"/>
        </w:rPr>
        <w:t xml:space="preserve"> other cell lines onl</w:t>
      </w:r>
      <w:r w:rsidR="00C82E5D">
        <w:rPr>
          <w:rFonts w:cs="Arial"/>
          <w:color w:val="1A1A1A"/>
          <w:sz w:val="18"/>
          <w:szCs w:val="26"/>
        </w:rPr>
        <w:t>y a single dataset is available,</w:t>
      </w:r>
      <w:r w:rsidR="00F70C16">
        <w:rPr>
          <w:rFonts w:cs="Arial"/>
          <w:color w:val="1A1A1A"/>
          <w:sz w:val="18"/>
          <w:szCs w:val="26"/>
        </w:rPr>
        <w:t xml:space="preserve"> </w:t>
      </w:r>
      <w:r w:rsidR="00B87AA4">
        <w:rPr>
          <w:rFonts w:cs="Arial"/>
          <w:color w:val="1A1A1A"/>
          <w:sz w:val="18"/>
          <w:szCs w:val="26"/>
        </w:rPr>
        <w:t xml:space="preserve">and thus </w:t>
      </w:r>
      <w:r w:rsidRPr="00F14C30">
        <w:rPr>
          <w:rFonts w:cs="Arial"/>
          <w:color w:val="1A1A1A"/>
          <w:sz w:val="18"/>
          <w:szCs w:val="26"/>
        </w:rPr>
        <w:t xml:space="preserve">the variance in the </w:t>
      </w:r>
      <w:r w:rsidR="00F14C30" w:rsidRPr="00F14C30">
        <w:rPr>
          <w:rFonts w:cs="Arial"/>
          <w:color w:val="1A1A1A"/>
          <w:sz w:val="18"/>
          <w:szCs w:val="26"/>
        </w:rPr>
        <w:t xml:space="preserve">single gene measurements </w:t>
      </w:r>
      <w:r w:rsidR="00F14C30">
        <w:rPr>
          <w:rFonts w:cs="Arial"/>
          <w:color w:val="1A1A1A"/>
          <w:sz w:val="18"/>
          <w:szCs w:val="26"/>
        </w:rPr>
        <w:t xml:space="preserve">was determined. </w:t>
      </w:r>
    </w:p>
    <w:p w:rsidR="0032134E" w:rsidRDefault="000D69B4" w:rsidP="00664459">
      <w:pPr>
        <w:widowControl w:val="0"/>
        <w:autoSpaceDE w:val="0"/>
        <w:autoSpaceDN w:val="0"/>
        <w:adjustRightInd w:val="0"/>
        <w:spacing w:before="80"/>
        <w:ind w:left="90" w:hanging="90"/>
        <w:rPr>
          <w:rFonts w:cs="Arial"/>
          <w:color w:val="1A1A1A"/>
          <w:sz w:val="18"/>
          <w:szCs w:val="26"/>
        </w:rPr>
      </w:pPr>
      <w:r w:rsidRPr="0032134E">
        <w:rPr>
          <w:rFonts w:cs="Arial"/>
          <w:color w:val="1A1A1A"/>
          <w:sz w:val="18"/>
          <w:szCs w:val="26"/>
          <w:vertAlign w:val="superscript"/>
        </w:rPr>
        <w:t>a</w:t>
      </w:r>
      <w:r w:rsidR="00B533E7">
        <w:rPr>
          <w:rFonts w:cs="Arial"/>
          <w:color w:val="1A1A1A"/>
          <w:sz w:val="18"/>
          <w:szCs w:val="26"/>
        </w:rPr>
        <w:t xml:space="preserve"> D</w:t>
      </w:r>
      <w:r w:rsidRPr="0032134E">
        <w:rPr>
          <w:rFonts w:cs="Arial"/>
          <w:color w:val="1A1A1A"/>
          <w:sz w:val="18"/>
          <w:szCs w:val="26"/>
        </w:rPr>
        <w:t xml:space="preserve">ata </w:t>
      </w:r>
      <w:r w:rsidR="00B533E7">
        <w:rPr>
          <w:rFonts w:cs="Arial"/>
          <w:color w:val="1A1A1A"/>
          <w:sz w:val="18"/>
          <w:szCs w:val="26"/>
        </w:rPr>
        <w:t xml:space="preserve">from </w:t>
      </w:r>
      <w:r w:rsidRPr="0032134E">
        <w:rPr>
          <w:rFonts w:cs="Arial"/>
          <w:color w:val="1A1A1A"/>
          <w:sz w:val="18"/>
          <w:szCs w:val="26"/>
        </w:rPr>
        <w:t>Sch</w:t>
      </w:r>
      <w:r w:rsidR="0032134E" w:rsidRPr="0032134E">
        <w:rPr>
          <w:rFonts w:cs="Arial"/>
          <w:color w:val="1A1A1A"/>
          <w:sz w:val="18"/>
          <w:szCs w:val="26"/>
        </w:rPr>
        <w:t>wanhausser et al</w:t>
      </w:r>
      <w:r w:rsidR="00833319">
        <w:rPr>
          <w:rFonts w:cs="Arial"/>
          <w:color w:val="1A1A1A"/>
          <w:sz w:val="18"/>
          <w:szCs w:val="26"/>
        </w:rPr>
        <w:t>.</w:t>
      </w:r>
      <w:r w:rsidR="00E91E7B">
        <w:rPr>
          <w:rFonts w:cs="Arial"/>
          <w:color w:val="1A1A1A"/>
          <w:sz w:val="18"/>
          <w:szCs w:val="26"/>
        </w:rPr>
        <w:t>,</w:t>
      </w:r>
      <w:r w:rsidR="0032134E">
        <w:rPr>
          <w:rFonts w:cs="Arial"/>
          <w:color w:val="1A1A1A"/>
          <w:sz w:val="18"/>
          <w:szCs w:val="26"/>
        </w:rPr>
        <w:t xml:space="preserve"> </w:t>
      </w:r>
      <w:r w:rsidR="00E91E7B">
        <w:rPr>
          <w:rFonts w:cs="Arial"/>
          <w:color w:val="1A1A1A"/>
          <w:sz w:val="18"/>
          <w:szCs w:val="26"/>
        </w:rPr>
        <w:t xml:space="preserve">2011 </w:t>
      </w:r>
      <w:r w:rsidR="00D50D0A">
        <w:rPr>
          <w:rFonts w:cs="Arial"/>
          <w:color w:val="1A1A1A"/>
          <w:sz w:val="18"/>
          <w:szCs w:val="26"/>
        </w:rPr>
        <w:t xml:space="preserve">for which </w:t>
      </w:r>
      <w:r w:rsidR="0032134E">
        <w:rPr>
          <w:rFonts w:cs="Arial"/>
          <w:color w:val="1A1A1A"/>
          <w:sz w:val="18"/>
          <w:szCs w:val="26"/>
        </w:rPr>
        <w:t xml:space="preserve">translation rates </w:t>
      </w:r>
      <w:r w:rsidR="00B533E7">
        <w:rPr>
          <w:rFonts w:cs="Arial"/>
          <w:color w:val="1A1A1A"/>
          <w:sz w:val="18"/>
          <w:szCs w:val="26"/>
        </w:rPr>
        <w:t xml:space="preserve">were determined </w:t>
      </w:r>
      <w:r w:rsidR="0032134E">
        <w:rPr>
          <w:rFonts w:cs="Arial"/>
          <w:color w:val="1A1A1A"/>
          <w:sz w:val="18"/>
          <w:szCs w:val="26"/>
        </w:rPr>
        <w:t>for both replicas</w:t>
      </w:r>
      <w:r w:rsidR="00720DF0">
        <w:rPr>
          <w:rFonts w:cs="Arial"/>
          <w:color w:val="1A1A1A"/>
          <w:sz w:val="18"/>
          <w:szCs w:val="26"/>
        </w:rPr>
        <w:t xml:space="preserve">. </w:t>
      </w:r>
    </w:p>
    <w:p w:rsidR="0032134E" w:rsidRPr="008C25E2" w:rsidRDefault="0032134E" w:rsidP="00664459">
      <w:pPr>
        <w:widowControl w:val="0"/>
        <w:autoSpaceDE w:val="0"/>
        <w:autoSpaceDN w:val="0"/>
        <w:adjustRightInd w:val="0"/>
        <w:spacing w:before="80"/>
        <w:ind w:left="90" w:hanging="90"/>
        <w:rPr>
          <w:rFonts w:cs="Arial"/>
          <w:color w:val="1A1A1A"/>
          <w:sz w:val="18"/>
          <w:szCs w:val="26"/>
        </w:rPr>
      </w:pPr>
      <w:r>
        <w:rPr>
          <w:rFonts w:cs="Arial"/>
          <w:color w:val="1A1A1A"/>
          <w:sz w:val="18"/>
          <w:szCs w:val="26"/>
          <w:vertAlign w:val="superscript"/>
        </w:rPr>
        <w:t>b</w:t>
      </w:r>
      <w:r w:rsidRPr="0032134E">
        <w:rPr>
          <w:rFonts w:cs="Arial"/>
          <w:color w:val="1A1A1A"/>
          <w:sz w:val="18"/>
          <w:szCs w:val="26"/>
        </w:rPr>
        <w:t xml:space="preserve"> </w:t>
      </w:r>
      <w:r w:rsidR="008C25E2">
        <w:rPr>
          <w:rFonts w:cs="Arial"/>
          <w:color w:val="1A1A1A"/>
          <w:sz w:val="18"/>
          <w:szCs w:val="26"/>
        </w:rPr>
        <w:t xml:space="preserve">Data from </w:t>
      </w:r>
      <w:r w:rsidR="008C25E2" w:rsidRPr="0032134E">
        <w:rPr>
          <w:rFonts w:cs="Arial"/>
          <w:color w:val="1A1A1A"/>
          <w:sz w:val="18"/>
          <w:szCs w:val="26"/>
        </w:rPr>
        <w:t>Schwanhausser et al</w:t>
      </w:r>
      <w:r w:rsidR="00833319">
        <w:rPr>
          <w:rFonts w:cs="Arial"/>
          <w:color w:val="1A1A1A"/>
          <w:sz w:val="18"/>
          <w:szCs w:val="26"/>
        </w:rPr>
        <w:t>.</w:t>
      </w:r>
      <w:r w:rsidR="00E91E7B">
        <w:rPr>
          <w:rFonts w:cs="Arial"/>
          <w:color w:val="1A1A1A"/>
          <w:sz w:val="18"/>
          <w:szCs w:val="26"/>
        </w:rPr>
        <w:t>,</w:t>
      </w:r>
      <w:r w:rsidR="008C25E2">
        <w:rPr>
          <w:rFonts w:cs="Arial"/>
          <w:color w:val="1A1A1A"/>
          <w:sz w:val="18"/>
          <w:szCs w:val="26"/>
        </w:rPr>
        <w:t xml:space="preserve"> </w:t>
      </w:r>
      <w:r w:rsidR="00E91E7B">
        <w:rPr>
          <w:rFonts w:cs="Arial"/>
          <w:color w:val="1A1A1A"/>
          <w:sz w:val="18"/>
          <w:szCs w:val="26"/>
        </w:rPr>
        <w:t xml:space="preserve">2011 </w:t>
      </w:r>
      <w:r w:rsidR="008C25E2">
        <w:rPr>
          <w:rFonts w:cs="Arial"/>
          <w:color w:val="1A1A1A"/>
          <w:sz w:val="18"/>
          <w:szCs w:val="26"/>
        </w:rPr>
        <w:t>for the intersection of genes</w:t>
      </w:r>
      <w:r w:rsidR="00664459">
        <w:rPr>
          <w:rFonts w:cs="Arial"/>
          <w:color w:val="1A1A1A"/>
          <w:sz w:val="18"/>
          <w:szCs w:val="26"/>
        </w:rPr>
        <w:t xml:space="preserve"> </w:t>
      </w:r>
      <w:r w:rsidR="00336394">
        <w:rPr>
          <w:rFonts w:cs="Arial"/>
          <w:color w:val="1A1A1A"/>
          <w:sz w:val="18"/>
          <w:szCs w:val="26"/>
        </w:rPr>
        <w:t>in dataset a</w:t>
      </w:r>
      <w:r w:rsidR="008B59A5">
        <w:rPr>
          <w:rFonts w:cs="Arial"/>
          <w:color w:val="1A1A1A"/>
          <w:sz w:val="18"/>
          <w:szCs w:val="26"/>
        </w:rPr>
        <w:t>.</w:t>
      </w:r>
      <w:r w:rsidR="00336394">
        <w:rPr>
          <w:rFonts w:cs="Arial"/>
          <w:color w:val="1A1A1A"/>
          <w:sz w:val="18"/>
          <w:szCs w:val="26"/>
        </w:rPr>
        <w:t xml:space="preserve"> </w:t>
      </w:r>
      <w:r w:rsidR="00664459">
        <w:rPr>
          <w:rFonts w:cs="Arial"/>
          <w:color w:val="1A1A1A"/>
          <w:sz w:val="18"/>
          <w:szCs w:val="26"/>
        </w:rPr>
        <w:t xml:space="preserve">and </w:t>
      </w:r>
      <w:r w:rsidR="00336394">
        <w:rPr>
          <w:rFonts w:cs="Arial"/>
          <w:color w:val="1A1A1A"/>
          <w:sz w:val="18"/>
          <w:szCs w:val="26"/>
        </w:rPr>
        <w:t>all genes detected by</w:t>
      </w:r>
      <w:r w:rsidR="00F76849" w:rsidRPr="00F76849">
        <w:rPr>
          <w:rFonts w:cs="Arial"/>
          <w:color w:val="1A1A1A"/>
          <w:sz w:val="18"/>
          <w:szCs w:val="26"/>
        </w:rPr>
        <w:t xml:space="preserve"> </w:t>
      </w:r>
      <w:r w:rsidR="006D6F9D">
        <w:rPr>
          <w:rFonts w:cs="Arial"/>
          <w:color w:val="1A1A1A"/>
          <w:sz w:val="18"/>
          <w:szCs w:val="26"/>
        </w:rPr>
        <w:t>Subteln</w:t>
      </w:r>
      <w:r w:rsidR="00F76849">
        <w:rPr>
          <w:rFonts w:cs="Arial"/>
          <w:color w:val="1A1A1A"/>
          <w:sz w:val="18"/>
          <w:szCs w:val="26"/>
        </w:rPr>
        <w:t xml:space="preserve">y </w:t>
      </w:r>
      <w:r w:rsidR="00F76849" w:rsidRPr="0032134E">
        <w:rPr>
          <w:rFonts w:cs="Arial"/>
          <w:color w:val="1A1A1A"/>
          <w:sz w:val="18"/>
          <w:szCs w:val="26"/>
        </w:rPr>
        <w:t>et al</w:t>
      </w:r>
      <w:r w:rsidR="00F76849">
        <w:rPr>
          <w:rFonts w:cs="Arial"/>
          <w:color w:val="1A1A1A"/>
          <w:sz w:val="18"/>
          <w:szCs w:val="26"/>
        </w:rPr>
        <w:t>.</w:t>
      </w:r>
    </w:p>
    <w:p w:rsidR="0032134E" w:rsidRDefault="008C25E2" w:rsidP="00664459">
      <w:pPr>
        <w:widowControl w:val="0"/>
        <w:autoSpaceDE w:val="0"/>
        <w:autoSpaceDN w:val="0"/>
        <w:adjustRightInd w:val="0"/>
        <w:spacing w:before="80"/>
        <w:ind w:left="450" w:hanging="450"/>
        <w:rPr>
          <w:rFonts w:cs="Arial"/>
          <w:color w:val="1A1A1A"/>
          <w:sz w:val="18"/>
          <w:szCs w:val="26"/>
        </w:rPr>
      </w:pPr>
      <w:r>
        <w:rPr>
          <w:rFonts w:cs="Arial"/>
          <w:color w:val="1A1A1A"/>
          <w:sz w:val="18"/>
          <w:szCs w:val="26"/>
          <w:vertAlign w:val="superscript"/>
        </w:rPr>
        <w:t>c</w:t>
      </w:r>
      <w:r w:rsidR="0032134E">
        <w:rPr>
          <w:rFonts w:cs="Arial"/>
          <w:color w:val="1A1A1A"/>
          <w:sz w:val="18"/>
          <w:szCs w:val="26"/>
        </w:rPr>
        <w:t xml:space="preserve"> </w:t>
      </w:r>
      <w:r>
        <w:rPr>
          <w:rFonts w:cs="Arial"/>
          <w:color w:val="1A1A1A"/>
          <w:sz w:val="18"/>
          <w:szCs w:val="26"/>
        </w:rPr>
        <w:t xml:space="preserve">Data </w:t>
      </w:r>
      <w:r w:rsidR="0032134E">
        <w:rPr>
          <w:rFonts w:cs="Arial"/>
          <w:color w:val="1A1A1A"/>
          <w:sz w:val="18"/>
          <w:szCs w:val="26"/>
        </w:rPr>
        <w:t xml:space="preserve">from </w:t>
      </w:r>
      <w:r w:rsidR="006D6F9D">
        <w:rPr>
          <w:rFonts w:cs="Arial"/>
          <w:color w:val="1A1A1A"/>
          <w:sz w:val="18"/>
          <w:szCs w:val="26"/>
        </w:rPr>
        <w:t>Subteln</w:t>
      </w:r>
      <w:r w:rsidR="00833319">
        <w:rPr>
          <w:rFonts w:cs="Arial"/>
          <w:color w:val="1A1A1A"/>
          <w:sz w:val="18"/>
          <w:szCs w:val="26"/>
        </w:rPr>
        <w:t xml:space="preserve">y </w:t>
      </w:r>
      <w:r w:rsidR="0032134E" w:rsidRPr="0032134E">
        <w:rPr>
          <w:rFonts w:cs="Arial"/>
          <w:color w:val="1A1A1A"/>
          <w:sz w:val="18"/>
          <w:szCs w:val="26"/>
        </w:rPr>
        <w:t>et al</w:t>
      </w:r>
      <w:r w:rsidR="00833319">
        <w:rPr>
          <w:rFonts w:cs="Arial"/>
          <w:color w:val="1A1A1A"/>
          <w:sz w:val="18"/>
          <w:szCs w:val="26"/>
        </w:rPr>
        <w:t>.</w:t>
      </w:r>
      <w:r w:rsidR="00E91E7B">
        <w:rPr>
          <w:rFonts w:cs="Arial"/>
          <w:color w:val="1A1A1A"/>
          <w:sz w:val="18"/>
          <w:szCs w:val="26"/>
        </w:rPr>
        <w:t>,</w:t>
      </w:r>
      <w:r w:rsidR="0032134E">
        <w:rPr>
          <w:rFonts w:cs="Arial"/>
          <w:color w:val="1A1A1A"/>
          <w:sz w:val="18"/>
          <w:szCs w:val="26"/>
        </w:rPr>
        <w:t xml:space="preserve"> </w:t>
      </w:r>
      <w:r w:rsidR="002723D2">
        <w:rPr>
          <w:rFonts w:cs="Arial"/>
          <w:color w:val="1A1A1A"/>
          <w:sz w:val="18"/>
          <w:szCs w:val="26"/>
        </w:rPr>
        <w:t>2014</w:t>
      </w:r>
      <w:r w:rsidR="00E91E7B">
        <w:rPr>
          <w:rFonts w:cs="Arial"/>
          <w:color w:val="1A1A1A"/>
          <w:sz w:val="18"/>
          <w:szCs w:val="26"/>
        </w:rPr>
        <w:t xml:space="preserve"> </w:t>
      </w:r>
      <w:r w:rsidR="0032134E">
        <w:rPr>
          <w:rFonts w:cs="Arial"/>
          <w:color w:val="1A1A1A"/>
          <w:sz w:val="18"/>
          <w:szCs w:val="26"/>
        </w:rPr>
        <w:t xml:space="preserve">for genes detected at </w:t>
      </w:r>
      <w:r w:rsidR="00556AB3">
        <w:rPr>
          <w:rFonts w:cs="Arial"/>
          <w:color w:val="1A1A1A"/>
          <w:sz w:val="18"/>
          <w:szCs w:val="26"/>
        </w:rPr>
        <w:t>&gt;= 10 RPKM for mRNA seq and ribosome footprints</w:t>
      </w:r>
      <w:r w:rsidR="0032134E">
        <w:rPr>
          <w:rFonts w:cs="Arial"/>
          <w:color w:val="1A1A1A"/>
          <w:sz w:val="18"/>
          <w:szCs w:val="26"/>
        </w:rPr>
        <w:t xml:space="preserve">. </w:t>
      </w:r>
    </w:p>
    <w:p w:rsidR="0032134E" w:rsidRDefault="008C25E2" w:rsidP="00664459">
      <w:pPr>
        <w:widowControl w:val="0"/>
        <w:autoSpaceDE w:val="0"/>
        <w:autoSpaceDN w:val="0"/>
        <w:adjustRightInd w:val="0"/>
        <w:spacing w:before="80"/>
        <w:ind w:left="90" w:hanging="90"/>
        <w:rPr>
          <w:rFonts w:cs="Arial"/>
          <w:color w:val="1A1A1A"/>
          <w:sz w:val="18"/>
          <w:szCs w:val="26"/>
        </w:rPr>
      </w:pPr>
      <w:r>
        <w:rPr>
          <w:rFonts w:cs="Arial"/>
          <w:color w:val="1A1A1A"/>
          <w:sz w:val="18"/>
          <w:szCs w:val="26"/>
          <w:vertAlign w:val="superscript"/>
        </w:rPr>
        <w:t>d</w:t>
      </w:r>
      <w:r w:rsidR="0032134E" w:rsidRPr="0032134E">
        <w:rPr>
          <w:rFonts w:cs="Arial"/>
          <w:color w:val="1A1A1A"/>
          <w:sz w:val="18"/>
          <w:szCs w:val="26"/>
        </w:rPr>
        <w:t xml:space="preserve"> </w:t>
      </w:r>
      <w:r w:rsidR="00B533E7">
        <w:rPr>
          <w:rFonts w:cs="Arial"/>
          <w:color w:val="1A1A1A"/>
          <w:sz w:val="18"/>
          <w:szCs w:val="26"/>
        </w:rPr>
        <w:t xml:space="preserve">Data from </w:t>
      </w:r>
      <w:r w:rsidR="006D6F9D">
        <w:rPr>
          <w:rFonts w:cs="Arial"/>
          <w:color w:val="1A1A1A"/>
          <w:sz w:val="18"/>
          <w:szCs w:val="26"/>
        </w:rPr>
        <w:t>Subteln</w:t>
      </w:r>
      <w:r w:rsidR="00833319">
        <w:rPr>
          <w:rFonts w:cs="Arial"/>
          <w:color w:val="1A1A1A"/>
          <w:sz w:val="18"/>
          <w:szCs w:val="26"/>
        </w:rPr>
        <w:t xml:space="preserve">y </w:t>
      </w:r>
      <w:r w:rsidR="00B533E7" w:rsidRPr="0032134E">
        <w:rPr>
          <w:rFonts w:cs="Arial"/>
          <w:color w:val="1A1A1A"/>
          <w:sz w:val="18"/>
          <w:szCs w:val="26"/>
        </w:rPr>
        <w:t>et al</w:t>
      </w:r>
      <w:r w:rsidR="00833319">
        <w:rPr>
          <w:rFonts w:cs="Arial"/>
          <w:color w:val="1A1A1A"/>
          <w:sz w:val="18"/>
          <w:szCs w:val="26"/>
        </w:rPr>
        <w:t>.</w:t>
      </w:r>
      <w:r w:rsidR="00E91E7B">
        <w:rPr>
          <w:rFonts w:cs="Arial"/>
          <w:color w:val="1A1A1A"/>
          <w:sz w:val="18"/>
          <w:szCs w:val="26"/>
        </w:rPr>
        <w:t>, 201</w:t>
      </w:r>
      <w:r w:rsidR="002723D2">
        <w:rPr>
          <w:rFonts w:cs="Arial"/>
          <w:color w:val="1A1A1A"/>
          <w:sz w:val="18"/>
          <w:szCs w:val="26"/>
        </w:rPr>
        <w:t>4</w:t>
      </w:r>
      <w:r w:rsidR="00E91E7B">
        <w:rPr>
          <w:rFonts w:cs="Arial"/>
          <w:color w:val="1A1A1A"/>
          <w:sz w:val="18"/>
          <w:szCs w:val="26"/>
        </w:rPr>
        <w:t xml:space="preserve"> </w:t>
      </w:r>
      <w:r w:rsidR="00B533E7">
        <w:rPr>
          <w:rFonts w:cs="Arial"/>
          <w:color w:val="1A1A1A"/>
          <w:sz w:val="18"/>
          <w:szCs w:val="26"/>
        </w:rPr>
        <w:t xml:space="preserve">for the intersection of genes </w:t>
      </w:r>
      <w:r w:rsidR="00336394">
        <w:rPr>
          <w:rFonts w:cs="Arial"/>
          <w:color w:val="1A1A1A"/>
          <w:sz w:val="18"/>
          <w:szCs w:val="26"/>
        </w:rPr>
        <w:t>in dataset a</w:t>
      </w:r>
      <w:r w:rsidR="008B59A5">
        <w:rPr>
          <w:rFonts w:cs="Arial"/>
          <w:color w:val="1A1A1A"/>
          <w:sz w:val="18"/>
          <w:szCs w:val="26"/>
        </w:rPr>
        <w:t>.</w:t>
      </w:r>
      <w:r w:rsidR="00336394">
        <w:rPr>
          <w:rFonts w:cs="Arial"/>
          <w:color w:val="1A1A1A"/>
          <w:sz w:val="18"/>
          <w:szCs w:val="26"/>
        </w:rPr>
        <w:t xml:space="preserve"> and all genes detected by </w:t>
      </w:r>
      <w:r w:rsidR="006D6F9D">
        <w:rPr>
          <w:rFonts w:cs="Arial"/>
          <w:color w:val="1A1A1A"/>
          <w:sz w:val="18"/>
          <w:szCs w:val="26"/>
        </w:rPr>
        <w:t>Subteln</w:t>
      </w:r>
      <w:r w:rsidR="00F76849">
        <w:rPr>
          <w:rFonts w:cs="Arial"/>
          <w:color w:val="1A1A1A"/>
          <w:sz w:val="18"/>
          <w:szCs w:val="26"/>
        </w:rPr>
        <w:t xml:space="preserve">y </w:t>
      </w:r>
      <w:r w:rsidR="00F76849" w:rsidRPr="0032134E">
        <w:rPr>
          <w:rFonts w:cs="Arial"/>
          <w:color w:val="1A1A1A"/>
          <w:sz w:val="18"/>
          <w:szCs w:val="26"/>
        </w:rPr>
        <w:t>et al</w:t>
      </w:r>
      <w:r w:rsidR="00F76849">
        <w:rPr>
          <w:rFonts w:cs="Arial"/>
          <w:color w:val="1A1A1A"/>
          <w:sz w:val="18"/>
          <w:szCs w:val="26"/>
        </w:rPr>
        <w:t>.</w:t>
      </w:r>
    </w:p>
    <w:p w:rsidR="00720DF0" w:rsidRDefault="00720DF0" w:rsidP="00664459">
      <w:pPr>
        <w:widowControl w:val="0"/>
        <w:autoSpaceDE w:val="0"/>
        <w:autoSpaceDN w:val="0"/>
        <w:adjustRightInd w:val="0"/>
        <w:spacing w:before="80"/>
        <w:ind w:left="450" w:hanging="450"/>
        <w:rPr>
          <w:rFonts w:cs="Arial"/>
          <w:color w:val="1A1A1A"/>
          <w:sz w:val="18"/>
          <w:szCs w:val="26"/>
        </w:rPr>
      </w:pPr>
      <w:r>
        <w:rPr>
          <w:rFonts w:cs="Arial"/>
          <w:color w:val="1A1A1A"/>
          <w:sz w:val="18"/>
          <w:szCs w:val="26"/>
          <w:vertAlign w:val="superscript"/>
        </w:rPr>
        <w:t>e</w:t>
      </w:r>
      <w:r w:rsidR="0032134E" w:rsidRPr="0032134E">
        <w:rPr>
          <w:rFonts w:cs="Arial"/>
          <w:color w:val="1A1A1A"/>
          <w:sz w:val="18"/>
          <w:szCs w:val="26"/>
        </w:rPr>
        <w:t xml:space="preserve"> </w:t>
      </w:r>
      <w:r>
        <w:rPr>
          <w:rFonts w:cs="Arial"/>
          <w:color w:val="1A1A1A"/>
          <w:sz w:val="18"/>
          <w:szCs w:val="26"/>
        </w:rPr>
        <w:t>Data from Guo et al</w:t>
      </w:r>
      <w:r w:rsidR="00833319">
        <w:rPr>
          <w:rFonts w:cs="Arial"/>
          <w:color w:val="1A1A1A"/>
          <w:sz w:val="18"/>
          <w:szCs w:val="26"/>
        </w:rPr>
        <w:t>.</w:t>
      </w:r>
      <w:r w:rsidR="00E91E7B">
        <w:rPr>
          <w:rFonts w:cs="Arial"/>
          <w:color w:val="1A1A1A"/>
          <w:sz w:val="18"/>
          <w:szCs w:val="26"/>
        </w:rPr>
        <w:t>,</w:t>
      </w:r>
      <w:r>
        <w:rPr>
          <w:rFonts w:cs="Arial"/>
          <w:color w:val="1A1A1A"/>
          <w:sz w:val="18"/>
          <w:szCs w:val="26"/>
        </w:rPr>
        <w:t xml:space="preserve"> </w:t>
      </w:r>
      <w:r w:rsidR="00E91E7B">
        <w:rPr>
          <w:rFonts w:cs="Arial"/>
          <w:color w:val="1A1A1A"/>
          <w:sz w:val="18"/>
          <w:szCs w:val="26"/>
        </w:rPr>
        <w:t xml:space="preserve">2010 </w:t>
      </w:r>
      <w:r>
        <w:rPr>
          <w:rFonts w:cs="Arial"/>
          <w:color w:val="1A1A1A"/>
          <w:sz w:val="18"/>
          <w:szCs w:val="26"/>
        </w:rPr>
        <w:t xml:space="preserve">for all genes detected at &gt;100 </w:t>
      </w:r>
      <w:r w:rsidR="00435468">
        <w:rPr>
          <w:rFonts w:cs="Arial"/>
          <w:color w:val="1A1A1A"/>
          <w:sz w:val="18"/>
          <w:szCs w:val="26"/>
        </w:rPr>
        <w:t xml:space="preserve">reads </w:t>
      </w:r>
      <w:r>
        <w:rPr>
          <w:rFonts w:cs="Arial"/>
          <w:color w:val="1A1A1A"/>
          <w:sz w:val="18"/>
          <w:szCs w:val="26"/>
        </w:rPr>
        <w:t>in both mRNA</w:t>
      </w:r>
      <w:r w:rsidR="00435468">
        <w:rPr>
          <w:rFonts w:cs="Arial"/>
          <w:color w:val="1A1A1A"/>
          <w:sz w:val="18"/>
          <w:szCs w:val="26"/>
        </w:rPr>
        <w:t xml:space="preserve">-seq and ribosome </w:t>
      </w:r>
      <w:r>
        <w:rPr>
          <w:rFonts w:cs="Arial"/>
          <w:color w:val="1A1A1A"/>
          <w:sz w:val="18"/>
          <w:szCs w:val="26"/>
        </w:rPr>
        <w:t>footprints</w:t>
      </w:r>
      <w:r w:rsidR="00435468">
        <w:rPr>
          <w:rFonts w:cs="Arial"/>
          <w:color w:val="1A1A1A"/>
          <w:sz w:val="18"/>
          <w:szCs w:val="26"/>
        </w:rPr>
        <w:t>.</w:t>
      </w:r>
    </w:p>
    <w:p w:rsidR="004B15B0" w:rsidRDefault="00720DF0" w:rsidP="00664459">
      <w:pPr>
        <w:widowControl w:val="0"/>
        <w:autoSpaceDE w:val="0"/>
        <w:autoSpaceDN w:val="0"/>
        <w:adjustRightInd w:val="0"/>
        <w:spacing w:before="80"/>
        <w:ind w:left="450" w:hanging="450"/>
        <w:rPr>
          <w:rFonts w:cs="Arial"/>
          <w:color w:val="1A1A1A"/>
          <w:sz w:val="18"/>
          <w:szCs w:val="26"/>
        </w:rPr>
      </w:pPr>
      <w:r>
        <w:rPr>
          <w:rFonts w:cs="Arial"/>
          <w:color w:val="1A1A1A"/>
          <w:sz w:val="18"/>
          <w:szCs w:val="26"/>
          <w:vertAlign w:val="superscript"/>
        </w:rPr>
        <w:t>f</w:t>
      </w:r>
      <w:r w:rsidRPr="0032134E">
        <w:rPr>
          <w:rFonts w:cs="Arial"/>
          <w:color w:val="1A1A1A"/>
          <w:sz w:val="18"/>
          <w:szCs w:val="26"/>
        </w:rPr>
        <w:t xml:space="preserve"> </w:t>
      </w:r>
      <w:r>
        <w:rPr>
          <w:rFonts w:cs="Arial"/>
          <w:color w:val="1A1A1A"/>
          <w:sz w:val="18"/>
          <w:szCs w:val="26"/>
        </w:rPr>
        <w:t>Data fr</w:t>
      </w:r>
      <w:r w:rsidR="00091AC6">
        <w:rPr>
          <w:rFonts w:cs="Arial"/>
          <w:color w:val="1A1A1A"/>
          <w:sz w:val="18"/>
          <w:szCs w:val="26"/>
        </w:rPr>
        <w:t>om Ingolia et al</w:t>
      </w:r>
      <w:r w:rsidR="00833319">
        <w:rPr>
          <w:rFonts w:cs="Arial"/>
          <w:color w:val="1A1A1A"/>
          <w:sz w:val="18"/>
          <w:szCs w:val="26"/>
        </w:rPr>
        <w:t>.</w:t>
      </w:r>
      <w:r w:rsidR="00E91E7B">
        <w:rPr>
          <w:rFonts w:cs="Arial"/>
          <w:color w:val="1A1A1A"/>
          <w:sz w:val="18"/>
          <w:szCs w:val="26"/>
        </w:rPr>
        <w:t>,</w:t>
      </w:r>
      <w:r w:rsidR="00091AC6">
        <w:rPr>
          <w:rFonts w:cs="Arial"/>
          <w:color w:val="1A1A1A"/>
          <w:sz w:val="18"/>
          <w:szCs w:val="26"/>
        </w:rPr>
        <w:t xml:space="preserve"> </w:t>
      </w:r>
      <w:r w:rsidR="00E91E7B">
        <w:rPr>
          <w:rFonts w:cs="Arial"/>
          <w:color w:val="1A1A1A"/>
          <w:sz w:val="18"/>
          <w:szCs w:val="26"/>
        </w:rPr>
        <w:t xml:space="preserve">2011 </w:t>
      </w:r>
      <w:r w:rsidR="00091AC6">
        <w:rPr>
          <w:rFonts w:cs="Arial"/>
          <w:color w:val="1A1A1A"/>
          <w:sz w:val="18"/>
          <w:szCs w:val="26"/>
        </w:rPr>
        <w:t>for all genes reported</w:t>
      </w:r>
      <w:r>
        <w:rPr>
          <w:rFonts w:cs="Arial"/>
          <w:color w:val="1A1A1A"/>
          <w:sz w:val="18"/>
          <w:szCs w:val="26"/>
        </w:rPr>
        <w:t xml:space="preserve">. </w:t>
      </w:r>
    </w:p>
    <w:p w:rsidR="00D44896" w:rsidRPr="0032134E" w:rsidRDefault="00D44896" w:rsidP="001964A8">
      <w:pPr>
        <w:widowControl w:val="0"/>
        <w:autoSpaceDE w:val="0"/>
        <w:autoSpaceDN w:val="0"/>
        <w:adjustRightInd w:val="0"/>
        <w:rPr>
          <w:rFonts w:cs="Arial"/>
          <w:color w:val="1A1A1A"/>
          <w:sz w:val="18"/>
          <w:szCs w:val="26"/>
        </w:rPr>
      </w:pPr>
    </w:p>
    <w:p w:rsidR="009A7754" w:rsidRPr="0032134E" w:rsidRDefault="009A7754" w:rsidP="009A7754">
      <w:pPr>
        <w:keepNext/>
        <w:ind w:right="-58"/>
        <w:jc w:val="both"/>
        <w:rPr>
          <w:b/>
          <w:sz w:val="18"/>
        </w:rPr>
      </w:pPr>
    </w:p>
    <w:p w:rsidR="009A7754" w:rsidRDefault="009A7754" w:rsidP="009A7754">
      <w:pPr>
        <w:keepNext/>
        <w:ind w:right="-58"/>
        <w:jc w:val="both"/>
        <w:rPr>
          <w:b/>
        </w:rPr>
      </w:pPr>
    </w:p>
    <w:p w:rsidR="001964A8" w:rsidRPr="00A20255" w:rsidRDefault="009A7754" w:rsidP="00A20255">
      <w:pPr>
        <w:spacing w:before="80"/>
        <w:ind w:right="-54"/>
        <w:jc w:val="both"/>
        <w:rPr>
          <w:sz w:val="18"/>
        </w:rPr>
      </w:pPr>
      <w:r w:rsidRPr="0032134E">
        <w:rPr>
          <w:sz w:val="18"/>
        </w:rPr>
        <w:t xml:space="preserve"> </w:t>
      </w:r>
    </w:p>
    <w:sectPr w:rsidR="001964A8" w:rsidRPr="00A20255" w:rsidSect="00D4489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eer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ecent mdb refs.enl&lt;/item&gt;&lt;/Libraries&gt;&lt;/ENLibraries&gt;"/>
  </w:docVars>
  <w:rsids>
    <w:rsidRoot w:val="001964A8"/>
    <w:rsid w:val="000132AE"/>
    <w:rsid w:val="0005446F"/>
    <w:rsid w:val="00091AC6"/>
    <w:rsid w:val="000A5741"/>
    <w:rsid w:val="000D69B4"/>
    <w:rsid w:val="001571AB"/>
    <w:rsid w:val="00163594"/>
    <w:rsid w:val="001964A8"/>
    <w:rsid w:val="002566E9"/>
    <w:rsid w:val="002723D2"/>
    <w:rsid w:val="002E3AA6"/>
    <w:rsid w:val="0032134E"/>
    <w:rsid w:val="00336394"/>
    <w:rsid w:val="00435468"/>
    <w:rsid w:val="004770E2"/>
    <w:rsid w:val="004B15B0"/>
    <w:rsid w:val="004C0894"/>
    <w:rsid w:val="004C4125"/>
    <w:rsid w:val="004D110E"/>
    <w:rsid w:val="005034CD"/>
    <w:rsid w:val="00556AB3"/>
    <w:rsid w:val="005B57E4"/>
    <w:rsid w:val="005D4080"/>
    <w:rsid w:val="006432D7"/>
    <w:rsid w:val="00654F1E"/>
    <w:rsid w:val="00664459"/>
    <w:rsid w:val="00665C37"/>
    <w:rsid w:val="006D6F9D"/>
    <w:rsid w:val="006E2BD4"/>
    <w:rsid w:val="006F356D"/>
    <w:rsid w:val="00720DF0"/>
    <w:rsid w:val="00747E80"/>
    <w:rsid w:val="00751968"/>
    <w:rsid w:val="00774EBC"/>
    <w:rsid w:val="007A26AC"/>
    <w:rsid w:val="008314C1"/>
    <w:rsid w:val="00833319"/>
    <w:rsid w:val="00842CD5"/>
    <w:rsid w:val="008B59A5"/>
    <w:rsid w:val="008C25E2"/>
    <w:rsid w:val="00942D96"/>
    <w:rsid w:val="00951EFE"/>
    <w:rsid w:val="00976BC2"/>
    <w:rsid w:val="00977C19"/>
    <w:rsid w:val="009A298B"/>
    <w:rsid w:val="009A7754"/>
    <w:rsid w:val="009C4264"/>
    <w:rsid w:val="00A20255"/>
    <w:rsid w:val="00B533E7"/>
    <w:rsid w:val="00B7218F"/>
    <w:rsid w:val="00B87AA4"/>
    <w:rsid w:val="00BC5FB9"/>
    <w:rsid w:val="00BE2CB3"/>
    <w:rsid w:val="00C82E5D"/>
    <w:rsid w:val="00CA4AE0"/>
    <w:rsid w:val="00D44896"/>
    <w:rsid w:val="00D50D0A"/>
    <w:rsid w:val="00DB11BC"/>
    <w:rsid w:val="00DC0308"/>
    <w:rsid w:val="00DD42A2"/>
    <w:rsid w:val="00E91E7B"/>
    <w:rsid w:val="00ED3419"/>
    <w:rsid w:val="00F14C30"/>
    <w:rsid w:val="00F30A31"/>
    <w:rsid w:val="00F43AA0"/>
    <w:rsid w:val="00F70C16"/>
    <w:rsid w:val="00F76849"/>
    <w:rsid w:val="00FD37F4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ED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4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230</Words>
  <Characters>1312</Characters>
  <Application>Microsoft Macintosh Word</Application>
  <DocSecurity>0</DocSecurity>
  <Lines>10</Lines>
  <Paragraphs>2</Paragraphs>
  <ScaleCrop>false</ScaleCrop>
  <Company>Lawrence Berkeley Laboratory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Biggin</cp:lastModifiedBy>
  <cp:revision>40</cp:revision>
  <cp:lastPrinted>2014-02-17T17:49:00Z</cp:lastPrinted>
  <dcterms:created xsi:type="dcterms:W3CDTF">2013-11-28T05:20:00Z</dcterms:created>
  <dcterms:modified xsi:type="dcterms:W3CDTF">2014-05-22T19:23:00Z</dcterms:modified>
</cp:coreProperties>
</file>