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9" w:rsidRDefault="00C00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2909CB">
        <w:rPr>
          <w:rFonts w:ascii="Times New Roman" w:hAnsi="Times New Roman" w:cs="Times New Roman"/>
          <w:sz w:val="24"/>
          <w:szCs w:val="24"/>
        </w:rPr>
        <w:t xml:space="preserve"> S3</w:t>
      </w:r>
      <w:bookmarkStart w:id="0" w:name="_GoBack"/>
      <w:bookmarkEnd w:id="0"/>
    </w:p>
    <w:tbl>
      <w:tblPr>
        <w:tblW w:w="12977" w:type="dxa"/>
        <w:jc w:val="center"/>
        <w:tblLook w:val="04A0" w:firstRow="1" w:lastRow="0" w:firstColumn="1" w:lastColumn="0" w:noHBand="0" w:noVBand="1"/>
      </w:tblPr>
      <w:tblGrid>
        <w:gridCol w:w="2644"/>
        <w:gridCol w:w="978"/>
        <w:gridCol w:w="1169"/>
        <w:gridCol w:w="1169"/>
        <w:gridCol w:w="1177"/>
        <w:gridCol w:w="1169"/>
        <w:gridCol w:w="1169"/>
        <w:gridCol w:w="1107"/>
        <w:gridCol w:w="1107"/>
        <w:gridCol w:w="1288"/>
      </w:tblGrid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708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08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708">
              <w:rPr>
                <w:rFonts w:ascii="Times New Roman" w:hAnsi="Times New Roman" w:cs="Times New Roman"/>
                <w:b/>
              </w:rPr>
              <w:t>Reef Slope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708">
              <w:rPr>
                <w:rFonts w:ascii="Times New Roman" w:hAnsi="Times New Roman" w:cs="Times New Roman"/>
                <w:b/>
              </w:rPr>
              <w:t>Reef Crest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NRW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RW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RC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NRE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NRW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RW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RC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Reef structural complexity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4.2±0.4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4.3±0.3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4.5±0.2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4.3±0.2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4.3±0.4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4.7±0.2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4.6±0.2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4.4±0.4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CORALS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Coral density (col/m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C00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17.8±1.0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17.2±1.3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18.5±0.7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16.3±1.6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18.1±1.0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6.7±0.6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6.8±0.7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6.2±0.4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Massive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0.11±0.02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0.13±0.01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0.19±0.02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0.11±0.02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0.06±0.01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0.04±0.01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0.05±0.01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0.08±0.02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Plating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1.2±0.2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1.2±0.1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1.2±1.1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1.1±0.2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1.6±0.2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0.4±0.1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0.5±0.1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0.3±0.1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Encrusting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0.6±0.03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0.5±0.03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0.6±0.02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0.5±0.04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0.2±0.02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0.2±0.03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0.2±0.02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Branching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0.4±0.03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0.3±0.06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0.3±0.02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0.3±0.04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0.3±0.05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0.3±0.04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0.2±0.03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0.2±0.02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Recruits density (col/m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C007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1.6±0.1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0.9±0.12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1.6±0.2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0.8±0.16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0.9±0.04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0.2±0.11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0.3±0.08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0.1±0.03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Coral cover (%)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15.8±1.0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18.7±1.0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18.0±1.0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16.0±1.7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17.1±1.0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11.8±1.9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8.4±2.2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6.8±1.0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Bleaching (%)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1.9±0.4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1.4±0.2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1.4±0.4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1.4±0.5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2.0±0.2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0.7±0.2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0.8±0.3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0.2±0.1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Mortality (%)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7.0±0.8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8.3±0.7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5.6±1.3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8.2±0.8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7.4±1.3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19.1±2.2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21.5±2.3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22.6±0.6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Richness (S)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24.8±1.0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24.1±0.9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25.0±1.1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24.8±1.0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24.0±1.0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14.6±0.8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11.5±0.7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13.2±1.0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Evenness (J)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0.7±0.02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0.8±0.01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0.8±0.03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0.8±0.02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0.8±0.02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0.8±0.05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0.7±0.06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Diversity (H)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2.3±0.1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2.5±0.1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2.5±0.1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2.5±0.1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2.6±0.1</w:t>
            </w:r>
            <w:r w:rsidRPr="00C007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2.0±0.1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1.9±0.1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1.8±0.1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Maximum size (Ø cm)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15.5±0.6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18.2±0.4</w:t>
            </w:r>
          </w:p>
        </w:tc>
        <w:tc>
          <w:tcPr>
            <w:tcW w:w="117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15.6±0.7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18.9±1.3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17.6±1.0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37.7±1.8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41.2±2.3</w:t>
            </w:r>
          </w:p>
        </w:tc>
        <w:tc>
          <w:tcPr>
            <w:tcW w:w="128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39.5±1.6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ALGAE (% cover)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Total Algae</w:t>
            </w:r>
          </w:p>
        </w:tc>
        <w:tc>
          <w:tcPr>
            <w:tcW w:w="978" w:type="dxa"/>
            <w:shd w:val="clear" w:color="auto" w:fill="F2F2F2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70.8±7.1</w:t>
            </w:r>
          </w:p>
        </w:tc>
        <w:tc>
          <w:tcPr>
            <w:tcW w:w="1169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69.1±9.5</w:t>
            </w:r>
          </w:p>
        </w:tc>
        <w:tc>
          <w:tcPr>
            <w:tcW w:w="1177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69.0±9.7</w:t>
            </w:r>
          </w:p>
        </w:tc>
        <w:tc>
          <w:tcPr>
            <w:tcW w:w="1169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61.9±8.8</w:t>
            </w:r>
          </w:p>
        </w:tc>
        <w:tc>
          <w:tcPr>
            <w:tcW w:w="1169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67.6±14.8</w:t>
            </w:r>
          </w:p>
        </w:tc>
        <w:tc>
          <w:tcPr>
            <w:tcW w:w="1107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59.5±0.6</w:t>
            </w:r>
          </w:p>
        </w:tc>
        <w:tc>
          <w:tcPr>
            <w:tcW w:w="1107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60.3±4.2</w:t>
            </w:r>
          </w:p>
        </w:tc>
        <w:tc>
          <w:tcPr>
            <w:tcW w:w="1288" w:type="dxa"/>
            <w:shd w:val="clear" w:color="auto" w:fill="F2F2F2"/>
            <w:vAlign w:val="bottom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708">
              <w:rPr>
                <w:rFonts w:ascii="Times New Roman" w:hAnsi="Times New Roman" w:cs="Times New Roman"/>
                <w:color w:val="000000"/>
              </w:rPr>
              <w:t>62.5±2.2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Foliose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Jun 04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35.5±3.3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14.7±1.7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14.6±1.7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14.8±2.4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14.7±2.0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1.2±0.6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Jan 05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35.2±2.7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30.3±2.4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29.3±2.8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24.2±1.5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31.9±2.6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1.7±0.7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0.8±0.4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0.3±0.3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Apr 05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38.2±2.6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30.3±2.4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28.2±2.8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26.4±2.6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39.8±2.6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1.1±0.5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2.1±1.0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0.3±0.3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Filamentous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Jun 04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6.3±1.6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2.5±0.9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8.9±1.9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3.1±1.0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9.8±1.8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20.8±3.7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9.1±1.3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13.5±3.7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Jan 05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9.8±1.6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5.3±1.3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10.8±2.5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17.4±1.4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20.4±2.1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5.9±1.4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13.6±1.9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13.0±2.8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Apr 05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9.5±1.7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5.3±1.3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8.9±1.7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6.0±1.4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14.1±1.4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6.1±1.4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11.0±1.6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13.0±2.8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Corticated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Jun 04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0.1±0.1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0.2±0.1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1.1±0.4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Jan 05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1.3±0.5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1.2±0.7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0.1±0.1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0.5±0.2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2.2±1.0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Apr 05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0.4±0.2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2.2±1.0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Coriaceous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Jun 04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6.9±2.0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23.5±2.4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16.9±1.9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11.6±2.1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5.5±1.1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0.1±0.1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Jan 05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19.4±2.7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28.8±2.4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24.9±3.0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13.5±1.9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18.4±2.1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0.6±0.3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0.5±0.3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Apr 05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20.5±2.7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28.7±2.3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28.0±2.7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15.3±2.5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12.9±1.3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0.3±0.2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0.5±0.3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Articulated calcareous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Jun 04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6.4±0.8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6.8±1.1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6.1±0.7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10.7±1.4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6.5±0.9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5.4±1.0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11.2±1.8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14.0±3.1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Jan 05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8.1±1.2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11.7±1.0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8.2±1.1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12.7±1.3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10.6±1.2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5.8±1.3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8.1±1.9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9.0±2.2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Apr 05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8.8±1.5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11.4±1.0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9.7±1.3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9.2±1.2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5.6±0.7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6.6±1.4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6.9±1.8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9.0±2.2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 xml:space="preserve">   Encrusting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Jun 04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1.8±1.0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2.5±0.5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2.9±0.6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5.3±1.4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2.4±0.8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31.9±3.1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31.5±3.3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28.2±5.0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Jan 05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3.0±0.4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2.7±0.4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6.3±1.3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6.5±0.8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5.9±0.9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46.7±2.5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38.5±3.1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39.7±5.0</w:t>
            </w:r>
          </w:p>
        </w:tc>
      </w:tr>
      <w:tr w:rsidR="00C00708" w:rsidRPr="00C00708" w:rsidTr="006B7D0D">
        <w:trPr>
          <w:trHeight w:hRule="exact" w:val="288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Apr 05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3.0±0.4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2.7±0.4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3.2±0.8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7.7±1.2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3.0±0.6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46.0±2.7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45.8±3.2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0708" w:rsidRPr="00C00708" w:rsidRDefault="00C00708" w:rsidP="006B7D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00708">
              <w:rPr>
                <w:rFonts w:ascii="Times New Roman" w:hAnsi="Times New Roman" w:cs="Times New Roman"/>
              </w:rPr>
              <w:t>39.7±5.0</w:t>
            </w:r>
          </w:p>
        </w:tc>
      </w:tr>
    </w:tbl>
    <w:p w:rsidR="00C00708" w:rsidRPr="00C00708" w:rsidRDefault="00C00708">
      <w:pPr>
        <w:rPr>
          <w:rFonts w:ascii="Times New Roman" w:hAnsi="Times New Roman" w:cs="Times New Roman"/>
          <w:sz w:val="24"/>
          <w:szCs w:val="24"/>
        </w:rPr>
      </w:pPr>
    </w:p>
    <w:sectPr w:rsidR="00C00708" w:rsidRPr="00C00708" w:rsidSect="00C00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8"/>
    <w:rsid w:val="002909CB"/>
    <w:rsid w:val="00C00708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Valdivia</dc:creator>
  <cp:lastModifiedBy>Abel Valdivia</cp:lastModifiedBy>
  <cp:revision>2</cp:revision>
  <dcterms:created xsi:type="dcterms:W3CDTF">2013-10-03T19:19:00Z</dcterms:created>
  <dcterms:modified xsi:type="dcterms:W3CDTF">2013-10-03T22:33:00Z</dcterms:modified>
</cp:coreProperties>
</file>