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082"/>
        <w:gridCol w:w="2149"/>
        <w:gridCol w:w="2149"/>
        <w:gridCol w:w="2179"/>
        <w:gridCol w:w="2173"/>
      </w:tblGrid>
      <w:tr w:rsidR="00EB78C5" w:rsidRPr="00EB78C5" w:rsidTr="00EB78C5">
        <w:trPr>
          <w:tblHeader/>
        </w:trPr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Parameter Viewed at 100x or 250+x, Description of “Normal”</w:t>
            </w:r>
          </w:p>
        </w:tc>
        <w:tc>
          <w:tcPr>
            <w:tcW w:w="10732" w:type="dxa"/>
            <w:gridSpan w:val="5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Numerical Score</w:t>
            </w:r>
          </w:p>
          <w:p w:rsidR="00EB78C5" w:rsidRPr="00EB78C5" w:rsidRDefault="00EB78C5" w:rsidP="00EB78C5">
            <w:pPr>
              <w:tabs>
                <w:tab w:val="left" w:pos="4410"/>
                <w:tab w:val="center" w:pos="5346"/>
              </w:tabs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Intensity or Severity Score</w:t>
            </w:r>
          </w:p>
        </w:tc>
      </w:tr>
      <w:tr w:rsidR="00EB78C5" w:rsidRPr="00EB78C5" w:rsidTr="00EB78C5">
        <w:trPr>
          <w:tblHeader/>
        </w:trPr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0 (No Change)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Low Magnification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Very Good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Fair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Very Poor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General Condition</w:t>
            </w:r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0 = Excellent, similar to 1970s samples, thick epithelia and mesoglea,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not hypertrophied, highly cellular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Similar to 1970s samples, but epithelia and mesoglea not as thick, epidermal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slightly hypertrophied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Hypertrophy of epidermal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intact epithelia and mesoglea, mesentery and filament architecture still normal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Hypertrophy of epidermal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minimal to mild attenuation (atrophy) of epithelia and mesoglea noted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Loss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moderate attenuation of epithelia and mesoglea, mesentery and filament architecture degenerating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Severe attenuation of epithelia and mesoglea, loss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epitheliomuscular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cells with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vacuolation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mesogleal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pleats necrosis and dissociation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mesenterial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filaments, necrosis and lysing  of epithelial cells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Zooxanthellae</w:t>
            </w:r>
            <w:proofErr w:type="spellEnd"/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0 =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Gastrodermal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cells packed with well-stained algal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symbionts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in surface body wall, tentacles; scattered algal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symbionts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deeper in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gastrovascular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canals and absorptive cells next to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mesenterial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filaments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Similar to 1970s samples, thick layer of well-stained algal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symbionts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of surface body wall, tentacles, and scattered cells in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gastrovascular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canals and absorptive cells next to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mesenterial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filaments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Thick layer of well-stained algal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symbionts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but not quite as abundant as in 1970s samples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Algal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symbionts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fewer in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which is mildly attenuated (atrophied), most still stain appropriately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Single row of algal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symbionts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in surface body wall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and markedly fewer in tentacle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, some have lost acidophilic staining as proteins no longer produced or nucleus/cytoplasm lysed, vacuole </w:t>
            </w: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enlarged compared to algal cell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No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zooxanthellae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present in cuboidal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gastrodermal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cells of colony (bleached)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lastRenderedPageBreak/>
              <w:t>High Magnification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Minimal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Mild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Marked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Severe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Epidermal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= In 1970s sample, thin columnar cells, uniform distribution and not taller than ciliated supporting cells, pale mucus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Slightly hypertrophied, numerous, pale-staining frothy mucus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Many cells hypertrophied, abundant release of pale-staining mucus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Uneven appearance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some hypertrophied but some reduced in size and secretion, darker staining mucus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Some epidermal foci lack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entirely, attenuation (atrophy) of epidermis evident, darker staining and stringy mucus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Loss of many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epidermis is attenuated to at least half of normal thickness or more, if mucus present it stains dark, thick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Cnidoglandular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Band Epithelium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0 = Oral portion lacks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, increasing in number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aborally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may be abundant with pale mucus; difficult to assess significance of appearance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Less than half the area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cnidoglandular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band is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, but could be more depending on location along the filament, size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variable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About half the area is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some hypertrophied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About half the area is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all hypertrophied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About three quarters of the area is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, mucus production reduced, some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vacuolation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present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Loss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vacuolation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and necrosis of cells present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Degeneration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Cnidoglandular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Bands</w:t>
            </w:r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0 = Ciliated columnar cells,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nematocytes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, acidophilic granular gland cells, and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abundant (but varying with location), tall, thin columnar, contiguous, terminal bar well formed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Mild reduction in cell height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Cell height more reduced, mild loss </w:t>
            </w: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or secretions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Attenuation (atrophy), loss of cells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Moderate attenuation of epithelium, some </w:t>
            </w: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granular gland cells stain dark pink and are rounded, not columnar, terminal bar not contiguous, some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pycnotic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nuclei present, loss of cells by detachment and sloughing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Severe atrophy of epithelium, detachment from </w:t>
            </w: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mesoglea and loss of cells, necrosis or apoptosis of remaining cells, no terminal bar present, loss of cilia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Dissociation of Cells on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Mesenterial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Filaments</w:t>
            </w:r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= All cells intact and within normal limits, contiguous, thin columnar morphology, terminal bar present, cilia visible along apical surface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Minimal loss of cilia, but will not be present where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are predominant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Minimal to mild loss of cells, terminal bar has minute gaps indicating loss of ciliated cells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Attenuation (atrophy) of cells,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vacuolation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reduced cilia, but filament still intact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Rounding up and loss of granular gland cells, some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pycnotic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nuclei present, cell loss evident, terminal bar gaps, terminal web (junctions) between cells lost, starting to spread apart along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cnidoglandular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band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Marked to severe separation of cells, most necrotic with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pycnotic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nuclei, vacuolated, lysing and loss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nematocysts, granular gland cells and ciliate columnar cells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Costal Tissue Loss</w:t>
            </w:r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0 = Tissue covering costae intact, epidermis similar in </w:t>
            </w: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thickness to epidermis of surface body wall with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as it covers the costae, although this may vary with location and be thinner;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calicodermis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thick, pale to clear cytoplasm, or thinner with cytoplasmic extensions apically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Attenuation (atrophy) of epidermis, mesoglea, and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calicodermis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but still intact over costae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 xml:space="preserve">Up to one-quarter of costae on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corallite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surfaces exposed due to loss </w:t>
            </w: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of epithelia and mesoglea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Up to one-half of costae exposed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About three quarters of costae exposed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Most costae exposed or gaps in surface body wall, tissues atrophied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Calicodermis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Condition</w:t>
            </w:r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0 =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Calicoblasts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numerous, squamous but thick cytoplasm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Calicoblasts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slightly reduced in height focally (more likely interior of colony)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About half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calicoblasts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attenuated (atrophied), loss of proteins in cytoplasm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Most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calicoblasts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attenuated, fewer in number, spread out thinly on mesoglea, still cuboidal to columnar and active under surface body wall and in apical polyps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Most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calicoblasts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markedly atrophied, fewer in number, some separating from mesoglea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Surface body wall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calicoblasts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severely atrophied or  vacuolated, detaching and sloughing, missing from mesoglea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WBD Bacterial Aggregates</w:t>
            </w:r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0 = Not present in tissue (between mesoglea and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calicodermis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) lining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gastrovascular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canals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One bacterial aggregate found in tissue on slide (rare)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Two to five bacterial aggregates found in tissue on slide (occasional)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Density increases, 6 to 10 bacterial aggregates in tissue on slide (common)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Density increases, bacterial aggregates seen throughout tissue on slide (frequent) 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Numerous bacterial aggregates present in any area of tissue, multiple adjacent aggregates, </w:t>
            </w: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size 50–100 µm (abundant)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Epidermal RLOs</w:t>
            </w:r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= Not present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One infected cell on oral disks or tentacles of polyps (rare)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Several infected cells on oral disks or tentacles of polyps, numerous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present (occasional)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About half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infected on oral disks or tentacles of polyps, loss of some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(common), rare infected cells in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actinopharynx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epidermis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More than half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infected on oral disks or tentacles of polyps, loss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(frequent), increase in infected cells on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actinopharynx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epidermis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Nearly all remaining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infected (may have lost many as infected cells die and lyse), many infected cells in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actinopharynx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epidermis (abundant)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Filament RLOs</w:t>
            </w:r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= Not present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One infected cell on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cnidoglandular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bands (rare)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Several infected cells on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cnidoglandular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bands present in tissue section (occasional)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Infected cells present on about half of sections through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cnidoglandular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bands (common), slight loss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, a few infected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lining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gastrovascular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canals (rare) 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A few infected cells present on almost all sections through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cnidoglandular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bands (frequent), loss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, more infected cells in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lining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gastrovascular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canals (common)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Nearly all remaining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infected but many lost as infected cells die and lyse,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mucocytes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gastrodermis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or mesenteries infected (abundant)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Gonad Staging</w:t>
            </w:r>
          </w:p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0 = None present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tabs>
                <w:tab w:val="left" w:pos="915"/>
                <w:tab w:val="center" w:pos="990"/>
              </w:tabs>
              <w:spacing w:after="0" w:line="240" w:lineRule="auto"/>
              <w:ind w:right="-1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EB78C5" w:rsidRPr="00EB78C5" w:rsidRDefault="00EB78C5" w:rsidP="00EB78C5">
            <w:pPr>
              <w:tabs>
                <w:tab w:val="left" w:pos="915"/>
                <w:tab w:val="center" w:pos="990"/>
              </w:tabs>
              <w:spacing w:after="0" w:line="240" w:lineRule="auto"/>
              <w:ind w:right="-1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</w:p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Oocytes</w:t>
            </w:r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Single germ cell surrounded by mesoglea in mesentery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Early oocyte, nucleus with distinct nucleolus but little development of lipid and protein in cytoplasm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Mid-development, uniform distribution of lipid droplets and protein granules, nucleus and cytoplasm enlarge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Mature, development of cortical granules and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vitelline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membrane, beginning to separate from mesoglea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Spawned, hole present where ovum released to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gastrovascular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cavity</w:t>
            </w:r>
          </w:p>
        </w:tc>
      </w:tr>
      <w:tr w:rsidR="00EB78C5" w:rsidRPr="00EB78C5" w:rsidTr="00EB78C5">
        <w:tc>
          <w:tcPr>
            <w:tcW w:w="221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Spermaries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Germ cells aggregate in mesoglea, forming one or a few clusters 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Early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spermaries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multiplication of germ cells, mitotic figures present</w:t>
            </w:r>
          </w:p>
        </w:tc>
        <w:tc>
          <w:tcPr>
            <w:tcW w:w="214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More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spermaries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present, spermatocytes undergo meiosis, spermatids fill lumen</w:t>
            </w:r>
          </w:p>
        </w:tc>
        <w:tc>
          <w:tcPr>
            <w:tcW w:w="2179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Mature spermatozoa fill lumen, may still have earlier stages surrounding these, but eventually all change to spermatozoa</w:t>
            </w:r>
          </w:p>
        </w:tc>
        <w:tc>
          <w:tcPr>
            <w:tcW w:w="2173" w:type="dxa"/>
            <w:shd w:val="clear" w:color="auto" w:fill="auto"/>
          </w:tcPr>
          <w:p w:rsidR="00EB78C5" w:rsidRPr="00EB78C5" w:rsidRDefault="00EB78C5" w:rsidP="00EB78C5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Spawned, remnants of spermatozoa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endocytosed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by absorptive </w:t>
            </w:r>
            <w:proofErr w:type="spellStart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gastrodermal</w:t>
            </w:r>
            <w:proofErr w:type="spellEnd"/>
            <w:r w:rsidRPr="00EB78C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cells on mesentery</w:t>
            </w:r>
          </w:p>
        </w:tc>
      </w:tr>
    </w:tbl>
    <w:p w:rsidR="00EB78C5" w:rsidRDefault="00EB78C5"/>
    <w:sectPr w:rsidR="00EB78C5" w:rsidSect="00EB78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C5"/>
    <w:rsid w:val="00D67D1C"/>
    <w:rsid w:val="00E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222DD-BC0B-4A33-8D66-C5E56F92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Miller</dc:creator>
  <cp:keywords/>
  <dc:description/>
  <cp:lastModifiedBy>Margaret Miller</cp:lastModifiedBy>
  <cp:revision>1</cp:revision>
  <dcterms:created xsi:type="dcterms:W3CDTF">2014-08-05T18:40:00Z</dcterms:created>
  <dcterms:modified xsi:type="dcterms:W3CDTF">2014-08-05T18:43:00Z</dcterms:modified>
</cp:coreProperties>
</file>