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14"/>
        <w:gridCol w:w="1418"/>
        <w:gridCol w:w="1418"/>
        <w:gridCol w:w="1418"/>
        <w:gridCol w:w="1418"/>
        <w:gridCol w:w="1418"/>
        <w:gridCol w:w="1418"/>
        <w:gridCol w:w="1418"/>
      </w:tblGrid>
      <w:tr w:rsidR="0081042A" w:rsidRPr="004A23BA" w:rsidTr="0081042A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543DA" w:rsidRPr="004A23BA" w:rsidRDefault="00F543DA" w:rsidP="0092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nil"/>
              <w:bottom w:val="nil"/>
            </w:tcBorders>
            <w:vAlign w:val="center"/>
          </w:tcPr>
          <w:p w:rsidR="00F543DA" w:rsidRPr="004A23BA" w:rsidRDefault="00F543DA" w:rsidP="009254DA">
            <w:pPr>
              <w:jc w:val="center"/>
              <w:rPr>
                <w:b/>
                <w:sz w:val="20"/>
                <w:szCs w:val="20"/>
              </w:rPr>
            </w:pPr>
            <w:r w:rsidRPr="004A23BA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4254" w:type="dxa"/>
            <w:gridSpan w:val="3"/>
            <w:tcBorders>
              <w:top w:val="nil"/>
              <w:bottom w:val="nil"/>
            </w:tcBorders>
            <w:vAlign w:val="center"/>
          </w:tcPr>
          <w:p w:rsidR="00F543DA" w:rsidRPr="004A23BA" w:rsidRDefault="00F543DA" w:rsidP="009254DA">
            <w:pPr>
              <w:jc w:val="center"/>
              <w:rPr>
                <w:b/>
                <w:sz w:val="20"/>
                <w:szCs w:val="20"/>
              </w:rPr>
            </w:pPr>
            <w:r w:rsidRPr="004A23BA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543DA" w:rsidRPr="004A23BA" w:rsidRDefault="00F543DA" w:rsidP="009254DA">
            <w:pPr>
              <w:jc w:val="center"/>
              <w:rPr>
                <w:b/>
                <w:sz w:val="20"/>
                <w:szCs w:val="20"/>
              </w:rPr>
            </w:pPr>
            <w:r w:rsidRPr="004A23BA">
              <w:rPr>
                <w:b/>
                <w:sz w:val="20"/>
                <w:szCs w:val="20"/>
              </w:rPr>
              <w:t>P4</w:t>
            </w:r>
          </w:p>
        </w:tc>
      </w:tr>
      <w:tr w:rsidR="00F543DA" w:rsidRPr="004A23BA" w:rsidTr="0081042A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F543DA" w:rsidRPr="004A23BA" w:rsidRDefault="00F54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 w:rsidP="00F543D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without cementum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enamel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 w:rsidP="00F543D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without cementum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enamel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543DA" w:rsidRPr="004A23BA" w:rsidRDefault="00F543DA" w:rsidP="00F543D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without cementum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F543DA" w:rsidRPr="004A23BA" w:rsidRDefault="00F543D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enamel volume</w:t>
            </w:r>
          </w:p>
        </w:tc>
      </w:tr>
      <w:tr w:rsidR="004A23BA" w:rsidRPr="004A23BA" w:rsidTr="0081042A"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16084052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11702383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4397214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12010484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7897550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A23BA">
              <w:rPr>
                <w:rFonts w:ascii="Calibri" w:hAnsi="Calibri" w:cs="Calibri"/>
                <w:sz w:val="20"/>
                <w:szCs w:val="20"/>
              </w:rPr>
              <w:t>2782343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8716410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5935333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A23BA">
              <w:rPr>
                <w:rFonts w:ascii="Calibri" w:hAnsi="Calibri" w:cs="Calibri"/>
                <w:sz w:val="20"/>
                <w:szCs w:val="20"/>
              </w:rPr>
              <w:t>2373177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11563272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9108867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3427750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9277951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6657111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2595382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5984108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4522858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1740099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11251917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9267336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3882362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7571577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5643475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2635101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4761440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3743875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1579430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6687348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5906388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2782682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4531029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3513027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1650599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3330703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2536998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1386339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4A23B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whole tooth crown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45403498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35814163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14387689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33526083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23859097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9637660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22745485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16714887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7126778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A23BA" w:rsidRPr="004A23BA" w:rsidRDefault="004A23BA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segmentation error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ind w:right="8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0</w:t>
            </w: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.47%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ind w:right="400"/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ind w:right="400"/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0.67%</w:t>
            </w:r>
          </w:p>
        </w:tc>
      </w:tr>
      <w:tr w:rsidR="0081042A" w:rsidRPr="004A23BA" w:rsidTr="0081042A">
        <w:trPr>
          <w:trHeight w:val="466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A23BA" w:rsidRPr="004A23BA" w:rsidRDefault="004A23BA" w:rsidP="0092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A23BA" w:rsidRPr="004A23BA" w:rsidRDefault="004A23BA" w:rsidP="009254DA">
            <w:pPr>
              <w:jc w:val="center"/>
              <w:rPr>
                <w:b/>
                <w:sz w:val="20"/>
                <w:szCs w:val="20"/>
              </w:rPr>
            </w:pPr>
            <w:r w:rsidRPr="004A23BA">
              <w:rPr>
                <w:b/>
                <w:sz w:val="20"/>
                <w:szCs w:val="20"/>
              </w:rPr>
              <w:t>M1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A23BA" w:rsidRPr="004A23BA" w:rsidRDefault="004A23BA" w:rsidP="009254DA">
            <w:pPr>
              <w:jc w:val="center"/>
              <w:rPr>
                <w:b/>
                <w:sz w:val="20"/>
                <w:szCs w:val="20"/>
              </w:rPr>
            </w:pPr>
            <w:r w:rsidRPr="004A23BA">
              <w:rPr>
                <w:b/>
                <w:sz w:val="20"/>
                <w:szCs w:val="20"/>
              </w:rPr>
              <w:t>M2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A23BA" w:rsidRPr="004A23BA" w:rsidRDefault="004A23BA" w:rsidP="009254DA">
            <w:pPr>
              <w:jc w:val="center"/>
              <w:rPr>
                <w:b/>
                <w:sz w:val="20"/>
                <w:szCs w:val="20"/>
              </w:rPr>
            </w:pPr>
            <w:r w:rsidRPr="004A23BA">
              <w:rPr>
                <w:b/>
                <w:sz w:val="20"/>
                <w:szCs w:val="20"/>
              </w:rPr>
              <w:t>M3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A23BA" w:rsidRPr="004A23BA" w:rsidRDefault="004A23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without cementum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enamel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without cementum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enamel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volume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total without cementum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enamel volume</w:t>
            </w:r>
          </w:p>
        </w:tc>
      </w:tr>
      <w:tr w:rsidR="004A23BA" w:rsidRPr="004A23BA" w:rsidTr="0081042A"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10405545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7082178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3419436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8535349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5363596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2494121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7548017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5345013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2865243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11103773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8539947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3895881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8852825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6379831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2846548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5756332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4282920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2257787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7893412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6263552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3034753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6231951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4679182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2213797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4557893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3454044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1969033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B034CA" w:rsidP="00BF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  <w:r w:rsidR="004A23BA" w:rsidRPr="004A23BA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8186506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7328856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3466978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7472345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5992379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3030034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8552920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6934636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3794978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whole tooth crown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37416229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28997124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13812086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31187385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22492154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10602375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26324330</w:t>
            </w:r>
          </w:p>
        </w:tc>
        <w:tc>
          <w:tcPr>
            <w:tcW w:w="1418" w:type="dxa"/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19921687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A23BA" w:rsidRPr="004A23BA" w:rsidRDefault="004A23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10882173</w:t>
            </w:r>
          </w:p>
        </w:tc>
      </w:tr>
      <w:tr w:rsidR="004A23BA" w:rsidRPr="004A23BA" w:rsidTr="0081042A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4A23BA" w:rsidRPr="004A23BA" w:rsidRDefault="004A23BA" w:rsidP="00BF0F67">
            <w:pPr>
              <w:rPr>
                <w:sz w:val="20"/>
                <w:szCs w:val="20"/>
              </w:rPr>
            </w:pPr>
            <w:r w:rsidRPr="004A23BA">
              <w:rPr>
                <w:sz w:val="20"/>
                <w:szCs w:val="20"/>
              </w:rPr>
              <w:t>segmentation error</w:t>
            </w:r>
          </w:p>
        </w:tc>
        <w:tc>
          <w:tcPr>
            <w:tcW w:w="1418" w:type="dxa"/>
            <w:vAlign w:val="bottom"/>
          </w:tcPr>
          <w:p w:rsidR="004A23BA" w:rsidRPr="004A23BA" w:rsidRDefault="009254DA" w:rsidP="009254D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1418" w:type="dxa"/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23BA" w:rsidRPr="004A23BA" w:rsidRDefault="004A23BA" w:rsidP="009254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3BA">
              <w:rPr>
                <w:rFonts w:ascii="Calibri" w:hAnsi="Calibri" w:cs="Calibri"/>
                <w:color w:val="000000"/>
                <w:sz w:val="20"/>
                <w:szCs w:val="20"/>
              </w:rPr>
              <w:t>0.04%</w:t>
            </w:r>
          </w:p>
        </w:tc>
      </w:tr>
    </w:tbl>
    <w:p w:rsidR="00FC66E1" w:rsidRDefault="00FC66E1"/>
    <w:p w:rsidR="00871C44" w:rsidRDefault="00871C44">
      <w:r>
        <w:t xml:space="preserve">Appendix </w:t>
      </w:r>
      <w:r w:rsidR="00CB214E">
        <w:t>2</w:t>
      </w:r>
      <w:bookmarkStart w:id="0" w:name="_GoBack"/>
      <w:bookmarkEnd w:id="0"/>
      <w:r>
        <w:t xml:space="preserve">. </w:t>
      </w:r>
      <w:proofErr w:type="gramStart"/>
      <w:r>
        <w:t>Raw data given as voxel counts.</w:t>
      </w:r>
      <w:proofErr w:type="gramEnd"/>
      <w:r>
        <w:t xml:space="preserve"> </w:t>
      </w:r>
      <w:r w:rsidR="009F0E30">
        <w:t>When</w:t>
      </w:r>
      <w:r>
        <w:t xml:space="preserve"> calculated </w:t>
      </w:r>
      <w:r w:rsidR="009F0E30">
        <w:t xml:space="preserve">from the individual </w:t>
      </w:r>
      <w:r w:rsidR="00B034CA">
        <w:t>section</w:t>
      </w:r>
      <w:r w:rsidR="009F0E30">
        <w:t xml:space="preserve">s, the </w:t>
      </w:r>
      <w:r>
        <w:t xml:space="preserve">voxel count for the whole tooth crown deviates slightly from the number of voxels actually segmented as total volume. </w:t>
      </w:r>
      <w:r w:rsidR="009F0E30">
        <w:t>In all cases this segmentation error is &lt;1%.</w:t>
      </w:r>
    </w:p>
    <w:sectPr w:rsidR="00871C44" w:rsidSect="003F21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4"/>
    <w:rsid w:val="003F21F4"/>
    <w:rsid w:val="004A23BA"/>
    <w:rsid w:val="0081042A"/>
    <w:rsid w:val="00871C44"/>
    <w:rsid w:val="009254DA"/>
    <w:rsid w:val="009F0E30"/>
    <w:rsid w:val="00B034CA"/>
    <w:rsid w:val="00CB214E"/>
    <w:rsid w:val="00F543DA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Eileen Winkler</dc:creator>
  <cp:lastModifiedBy>Daniela Eileen Winkler</cp:lastModifiedBy>
  <cp:revision>5</cp:revision>
  <dcterms:created xsi:type="dcterms:W3CDTF">2015-04-30T07:53:00Z</dcterms:created>
  <dcterms:modified xsi:type="dcterms:W3CDTF">2015-05-07T13:55:00Z</dcterms:modified>
</cp:coreProperties>
</file>