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87" w:rsidRDefault="007E4F87" w:rsidP="007E4F87">
      <w:pPr>
        <w:rPr>
          <w:lang w:val="en-GB"/>
        </w:rPr>
      </w:pPr>
      <w:r w:rsidRPr="002D29BF">
        <w:rPr>
          <w:b/>
        </w:rPr>
        <w:t>Table S3.</w:t>
      </w:r>
      <w:r w:rsidRPr="002D29BF">
        <w:t xml:space="preserve"> Multiple compa</w:t>
      </w:r>
      <w:bookmarkStart w:id="0" w:name="_GoBack"/>
      <w:bookmarkEnd w:id="0"/>
      <w:r w:rsidRPr="002D29BF">
        <w:t xml:space="preserve">risons of slopes for A) aphid population growth, B) parasitism rate, C) </w:t>
      </w:r>
      <w:proofErr w:type="spellStart"/>
      <w:r w:rsidRPr="002D29BF">
        <w:t>syrphid</w:t>
      </w:r>
      <w:proofErr w:type="spellEnd"/>
      <w:r w:rsidRPr="002D29BF">
        <w:t xml:space="preserve"> fraction measured at three sampling dates. This table shows the difference in slope between treatments, where slope is the effect of changes in % </w:t>
      </w:r>
      <w:proofErr w:type="spellStart"/>
      <w:r w:rsidRPr="002D29BF">
        <w:t>seminatural</w:t>
      </w:r>
      <w:proofErr w:type="spellEnd"/>
      <w:r w:rsidRPr="002D29BF">
        <w:t xml:space="preserve"> habitat around fields on response variables. Slopes are compared against zero (i.e. compared to no effect: estimates are then the absolute slope of the treatment across a gradient in % </w:t>
      </w:r>
      <w:proofErr w:type="spellStart"/>
      <w:r w:rsidRPr="002D29BF">
        <w:t>seminatural</w:t>
      </w:r>
      <w:proofErr w:type="spellEnd"/>
      <w:r w:rsidRPr="002D29BF">
        <w:t xml:space="preserve"> habitat) or are given relative to the slopes of other treatments. Treatments are </w:t>
      </w:r>
      <w:r w:rsidRPr="002D29BF">
        <w:rPr>
          <w:i/>
        </w:rPr>
        <w:t>O</w:t>
      </w:r>
      <w:r w:rsidRPr="002D29BF">
        <w:t xml:space="preserve">: open treatment without exclusion; </w:t>
      </w:r>
      <w:r w:rsidRPr="002D29BF">
        <w:rPr>
          <w:i/>
        </w:rPr>
        <w:t>-B</w:t>
      </w:r>
      <w:r w:rsidRPr="002D29BF">
        <w:t xml:space="preserve">: exclusion of birds; </w:t>
      </w:r>
      <w:r w:rsidRPr="002D29BF">
        <w:rPr>
          <w:i/>
        </w:rPr>
        <w:t>-G</w:t>
      </w:r>
      <w:r w:rsidRPr="002D29BF">
        <w:t xml:space="preserve">: exclusion of ground-dwellers; </w:t>
      </w:r>
      <w:r w:rsidRPr="002D29BF">
        <w:rPr>
          <w:i/>
        </w:rPr>
        <w:t>-G-B</w:t>
      </w:r>
      <w:r w:rsidRPr="002D29BF">
        <w:t xml:space="preserve">: exclusion of ground-dwellers and birds, but not flying insects; </w:t>
      </w:r>
      <w:r w:rsidRPr="002D29BF">
        <w:rPr>
          <w:i/>
        </w:rPr>
        <w:t>-F-B</w:t>
      </w:r>
      <w:r w:rsidRPr="002D29BF">
        <w:t xml:space="preserve">: exclusion of flying insects and birds; </w:t>
      </w:r>
      <w:r w:rsidRPr="002D29BF">
        <w:rPr>
          <w:i/>
        </w:rPr>
        <w:t>-G-F-B</w:t>
      </w:r>
      <w:r w:rsidRPr="002D29BF">
        <w:t xml:space="preserve">: control excluding all enemies but including herbivores. P-values are adjusted for the False Discovery Rate using the </w:t>
      </w:r>
      <w:proofErr w:type="spellStart"/>
      <w:r w:rsidRPr="002D29BF">
        <w:t>Benjamini</w:t>
      </w:r>
      <w:proofErr w:type="spellEnd"/>
      <w:r w:rsidRPr="002D29BF">
        <w:t xml:space="preserve">-Hochberg correction. Significance codes are </w:t>
      </w:r>
      <w:r w:rsidRPr="002D29BF">
        <w:rPr>
          <w:lang w:val="en-GB"/>
        </w:rPr>
        <w:t>‘***’ p&lt;0.001, ‘**’ p&lt;0.01, ‘*’ p&lt;0.05, ‘.’ p&lt;0.1.</w:t>
      </w:r>
    </w:p>
    <w:p w:rsidR="007E4F87" w:rsidRDefault="007E4F87" w:rsidP="007E4F87">
      <w:pPr>
        <w:rPr>
          <w:lang w:val="en-GB"/>
        </w:rPr>
      </w:pPr>
    </w:p>
    <w:tbl>
      <w:tblPr>
        <w:tblW w:w="15021" w:type="dxa"/>
        <w:tblInd w:w="-432" w:type="dxa"/>
        <w:tblLook w:val="04A0" w:firstRow="1" w:lastRow="0" w:firstColumn="1" w:lastColumn="0" w:noHBand="0" w:noVBand="1"/>
      </w:tblPr>
      <w:tblGrid>
        <w:gridCol w:w="1545"/>
        <w:gridCol w:w="846"/>
        <w:gridCol w:w="666"/>
        <w:gridCol w:w="621"/>
        <w:gridCol w:w="627"/>
        <w:gridCol w:w="486"/>
        <w:gridCol w:w="684"/>
        <w:gridCol w:w="450"/>
        <w:gridCol w:w="936"/>
        <w:gridCol w:w="666"/>
        <w:gridCol w:w="621"/>
        <w:gridCol w:w="666"/>
        <w:gridCol w:w="486"/>
        <w:gridCol w:w="666"/>
        <w:gridCol w:w="513"/>
        <w:gridCol w:w="846"/>
        <w:gridCol w:w="666"/>
        <w:gridCol w:w="621"/>
        <w:gridCol w:w="666"/>
        <w:gridCol w:w="546"/>
        <w:gridCol w:w="621"/>
        <w:gridCol w:w="90"/>
        <w:gridCol w:w="90"/>
        <w:gridCol w:w="396"/>
      </w:tblGrid>
      <w:tr w:rsidR="007E4F87" w:rsidTr="002F015E">
        <w:trPr>
          <w:trHeight w:val="270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b/>
                <w:bCs/>
                <w:sz w:val="18"/>
                <w:szCs w:val="18"/>
                <w:lang w:val="de-DE" w:eastAsia="de-DE"/>
              </w:rPr>
            </w:pPr>
            <w:r>
              <w:rPr>
                <w:b/>
                <w:bCs/>
                <w:sz w:val="18"/>
                <w:szCs w:val="18"/>
              </w:rPr>
              <w:t>A. Aphid population growth</w:t>
            </w:r>
          </w:p>
        </w:tc>
        <w:tc>
          <w:tcPr>
            <w:tcW w:w="21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b/>
                <w:bCs/>
                <w:sz w:val="18"/>
                <w:szCs w:val="18"/>
                <w:lang w:val="de-DE" w:eastAsia="de-DE"/>
              </w:rPr>
            </w:pPr>
            <w:r>
              <w:rPr>
                <w:b/>
                <w:bCs/>
                <w:sz w:val="18"/>
                <w:szCs w:val="18"/>
              </w:rPr>
              <w:t>Sampling date 1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b/>
                <w:bCs/>
                <w:sz w:val="18"/>
                <w:szCs w:val="18"/>
                <w:lang w:val="de-DE" w:eastAsia="de-DE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b/>
                <w:bCs/>
                <w:sz w:val="18"/>
                <w:szCs w:val="18"/>
                <w:lang w:val="de-DE" w:eastAsia="de-DE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b/>
                <w:bCs/>
                <w:sz w:val="18"/>
                <w:szCs w:val="18"/>
                <w:lang w:val="de-DE" w:eastAsia="de-DE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b/>
                <w:bCs/>
                <w:sz w:val="18"/>
                <w:szCs w:val="18"/>
                <w:lang w:val="de-DE" w:eastAsia="de-DE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b/>
                <w:bCs/>
                <w:sz w:val="18"/>
                <w:szCs w:val="18"/>
                <w:lang w:val="de-DE" w:eastAsia="de-DE"/>
              </w:rPr>
            </w:pPr>
            <w:r>
              <w:rPr>
                <w:b/>
                <w:bCs/>
                <w:sz w:val="18"/>
                <w:szCs w:val="18"/>
              </w:rPr>
              <w:t>Sampling date 2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b/>
                <w:bCs/>
                <w:sz w:val="18"/>
                <w:szCs w:val="18"/>
                <w:lang w:val="de-DE" w:eastAsia="de-DE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b/>
                <w:bCs/>
                <w:sz w:val="18"/>
                <w:szCs w:val="18"/>
                <w:lang w:val="de-DE" w:eastAsia="de-DE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b/>
                <w:bCs/>
                <w:sz w:val="18"/>
                <w:szCs w:val="18"/>
                <w:lang w:val="de-DE" w:eastAsia="de-DE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b/>
                <w:bCs/>
                <w:sz w:val="18"/>
                <w:szCs w:val="18"/>
                <w:lang w:val="de-DE" w:eastAsia="de-DE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b/>
                <w:bCs/>
                <w:sz w:val="18"/>
                <w:szCs w:val="18"/>
                <w:lang w:val="de-DE" w:eastAsia="de-DE"/>
              </w:rPr>
            </w:pPr>
            <w:r>
              <w:rPr>
                <w:b/>
                <w:bCs/>
                <w:sz w:val="18"/>
                <w:szCs w:val="18"/>
              </w:rPr>
              <w:t>Sampling date 3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b/>
                <w:bCs/>
                <w:sz w:val="18"/>
                <w:szCs w:val="18"/>
                <w:lang w:val="de-DE" w:eastAsia="de-DE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b/>
                <w:bCs/>
                <w:sz w:val="18"/>
                <w:szCs w:val="18"/>
                <w:lang w:val="de-DE" w:eastAsia="de-DE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b/>
                <w:bCs/>
                <w:sz w:val="18"/>
                <w:szCs w:val="18"/>
                <w:lang w:val="de-DE" w:eastAsia="de-DE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  <w:p w:rsidR="007E4F87" w:rsidRDefault="007E4F87" w:rsidP="002F015E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4F87" w:rsidTr="002F015E">
        <w:trPr>
          <w:trHeight w:val="270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color w:val="000000"/>
                <w:sz w:val="18"/>
                <w:szCs w:val="18"/>
                <w:lang w:val="de-DE" w:eastAsia="de-DE"/>
              </w:rPr>
            </w:pPr>
            <w:r>
              <w:rPr>
                <w:color w:val="000000"/>
                <w:sz w:val="18"/>
                <w:szCs w:val="18"/>
              </w:rPr>
              <w:t>Treatments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>Estimate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>SE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>z value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>p (adjusted)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>Estimate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>SE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>z value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>p (adjusted)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>Estimate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>SE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>z value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>p (adjusted)</w:t>
            </w:r>
          </w:p>
        </w:tc>
      </w:tr>
      <w:tr w:rsidR="007E4F87" w:rsidTr="002F015E">
        <w:trPr>
          <w:trHeight w:val="255"/>
        </w:trPr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color w:val="000000"/>
                <w:sz w:val="18"/>
                <w:szCs w:val="18"/>
                <w:lang w:val="de-DE" w:eastAsia="de-DE"/>
              </w:rPr>
            </w:pPr>
            <w:r>
              <w:rPr>
                <w:color w:val="000000"/>
                <w:sz w:val="18"/>
                <w:szCs w:val="18"/>
              </w:rPr>
              <w:t xml:space="preserve"> -G-F-B vs. zero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0.009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0.002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3.61</w:t>
            </w:r>
          </w:p>
        </w:tc>
        <w:tc>
          <w:tcPr>
            <w:tcW w:w="627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684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93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0.006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4.84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0.245</w:t>
            </w:r>
          </w:p>
        </w:tc>
        <w:tc>
          <w:tcPr>
            <w:tcW w:w="54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0.783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E4F87" w:rsidTr="002F015E">
        <w:trPr>
          <w:trHeight w:val="255"/>
        </w:trPr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color w:val="000000"/>
                <w:sz w:val="18"/>
                <w:szCs w:val="18"/>
                <w:lang w:val="de-DE" w:eastAsia="de-DE"/>
              </w:rPr>
            </w:pPr>
            <w:r>
              <w:rPr>
                <w:color w:val="000000"/>
                <w:sz w:val="18"/>
                <w:szCs w:val="18"/>
              </w:rPr>
              <w:t xml:space="preserve"> -G-F-B vs. -F-B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-0.002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0.003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-0.67</w:t>
            </w:r>
          </w:p>
        </w:tc>
        <w:tc>
          <w:tcPr>
            <w:tcW w:w="627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0.505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-0.002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-1.65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0.099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0.192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0.66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0.509</w:t>
            </w:r>
          </w:p>
        </w:tc>
        <w:tc>
          <w:tcPr>
            <w:tcW w:w="54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0.937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E4F87" w:rsidTr="002F015E">
        <w:trPr>
          <w:trHeight w:val="255"/>
        </w:trPr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color w:val="000000"/>
                <w:sz w:val="18"/>
                <w:szCs w:val="18"/>
                <w:lang w:val="de-DE" w:eastAsia="de-DE"/>
              </w:rPr>
            </w:pPr>
            <w:r>
              <w:rPr>
                <w:color w:val="000000"/>
                <w:sz w:val="18"/>
                <w:szCs w:val="18"/>
              </w:rPr>
              <w:t xml:space="preserve"> -G-F-B vs. -G-B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-0.002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0.003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-0.71</w:t>
            </w:r>
          </w:p>
        </w:tc>
        <w:tc>
          <w:tcPr>
            <w:tcW w:w="627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0.477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-0.004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-2.64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0.008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-0.53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0.596</w:t>
            </w:r>
          </w:p>
        </w:tc>
        <w:tc>
          <w:tcPr>
            <w:tcW w:w="54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0.937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E4F87" w:rsidTr="002F015E">
        <w:trPr>
          <w:trHeight w:val="255"/>
        </w:trPr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color w:val="000000"/>
                <w:sz w:val="18"/>
                <w:szCs w:val="18"/>
                <w:lang w:val="de-DE" w:eastAsia="de-DE"/>
              </w:rPr>
            </w:pPr>
            <w:r>
              <w:rPr>
                <w:color w:val="000000"/>
                <w:sz w:val="18"/>
                <w:szCs w:val="18"/>
              </w:rPr>
              <w:t xml:space="preserve"> -G-F-B vs. -G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-0.008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0.003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-2.70</w:t>
            </w:r>
          </w:p>
        </w:tc>
        <w:tc>
          <w:tcPr>
            <w:tcW w:w="627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0.007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684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93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-0.004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-3.07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0.002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-0.001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-0.75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0.455</w:t>
            </w:r>
          </w:p>
        </w:tc>
        <w:tc>
          <w:tcPr>
            <w:tcW w:w="54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0.937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E4F87" w:rsidTr="002F015E">
        <w:trPr>
          <w:trHeight w:val="255"/>
        </w:trPr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color w:val="000000"/>
                <w:sz w:val="18"/>
                <w:szCs w:val="18"/>
                <w:lang w:val="de-DE" w:eastAsia="de-DE"/>
              </w:rPr>
            </w:pPr>
            <w:r>
              <w:rPr>
                <w:color w:val="000000"/>
                <w:sz w:val="18"/>
                <w:szCs w:val="18"/>
              </w:rPr>
              <w:t xml:space="preserve"> -G-F-B vs. -B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-0.008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0.003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-2.70</w:t>
            </w:r>
          </w:p>
        </w:tc>
        <w:tc>
          <w:tcPr>
            <w:tcW w:w="627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0.007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684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93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-0.004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-3.34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-0.001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-0.95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0.341</w:t>
            </w:r>
          </w:p>
        </w:tc>
        <w:tc>
          <w:tcPr>
            <w:tcW w:w="54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0.909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E4F87" w:rsidTr="002F015E">
        <w:trPr>
          <w:trHeight w:val="255"/>
        </w:trPr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color w:val="000000"/>
                <w:sz w:val="18"/>
                <w:szCs w:val="18"/>
                <w:lang w:val="de-DE" w:eastAsia="de-DE"/>
              </w:rPr>
            </w:pPr>
            <w:r>
              <w:rPr>
                <w:color w:val="000000"/>
                <w:sz w:val="18"/>
                <w:szCs w:val="18"/>
              </w:rPr>
              <w:t xml:space="preserve"> -G-F-B vs. O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-0.008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0.003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-2.73</w:t>
            </w:r>
          </w:p>
        </w:tc>
        <w:tc>
          <w:tcPr>
            <w:tcW w:w="627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0.006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684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93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-0.006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-4.12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-0.001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-0.61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0.542</w:t>
            </w:r>
          </w:p>
        </w:tc>
        <w:tc>
          <w:tcPr>
            <w:tcW w:w="54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0.937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E4F87" w:rsidTr="002F015E">
        <w:trPr>
          <w:trHeight w:val="255"/>
        </w:trPr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color w:val="000000"/>
                <w:sz w:val="18"/>
                <w:szCs w:val="18"/>
                <w:lang w:val="de-DE" w:eastAsia="de-DE"/>
              </w:rPr>
            </w:pPr>
            <w:r>
              <w:rPr>
                <w:color w:val="000000"/>
                <w:sz w:val="18"/>
                <w:szCs w:val="18"/>
              </w:rPr>
              <w:t xml:space="preserve"> -F-B vs. -G-B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0.003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-0.01</w:t>
            </w:r>
          </w:p>
        </w:tc>
        <w:tc>
          <w:tcPr>
            <w:tcW w:w="627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0.992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0.94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0.347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0.427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0.224</w:t>
            </w:r>
          </w:p>
        </w:tc>
        <w:tc>
          <w:tcPr>
            <w:tcW w:w="54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0.783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E4F87" w:rsidTr="002F015E">
        <w:trPr>
          <w:trHeight w:val="255"/>
        </w:trPr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color w:val="000000"/>
                <w:sz w:val="18"/>
                <w:szCs w:val="18"/>
                <w:lang w:val="de-DE" w:eastAsia="de-DE"/>
              </w:rPr>
            </w:pPr>
            <w:r>
              <w:rPr>
                <w:color w:val="000000"/>
                <w:sz w:val="18"/>
                <w:szCs w:val="18"/>
              </w:rPr>
              <w:t xml:space="preserve"> -F-B vs. -G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0.006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0.003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2.13</w:t>
            </w:r>
          </w:p>
        </w:tc>
        <w:tc>
          <w:tcPr>
            <w:tcW w:w="627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0.033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684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93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0.002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1.41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0.159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1.44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0.151</w:t>
            </w:r>
          </w:p>
        </w:tc>
        <w:tc>
          <w:tcPr>
            <w:tcW w:w="54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0.783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E4F87" w:rsidTr="002F015E">
        <w:trPr>
          <w:trHeight w:val="255"/>
        </w:trPr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color w:val="000000"/>
                <w:sz w:val="18"/>
                <w:szCs w:val="18"/>
                <w:lang w:val="de-DE" w:eastAsia="de-DE"/>
              </w:rPr>
            </w:pPr>
            <w:r>
              <w:rPr>
                <w:color w:val="000000"/>
                <w:sz w:val="18"/>
                <w:szCs w:val="18"/>
              </w:rPr>
              <w:t xml:space="preserve"> -F-B vs. -B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0.005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0.003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</w:t>
            </w:r>
          </w:p>
        </w:tc>
        <w:tc>
          <w:tcPr>
            <w:tcW w:w="627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0.035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684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93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0.002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1.61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0.108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0.192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1.65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0.099</w:t>
            </w:r>
          </w:p>
        </w:tc>
        <w:tc>
          <w:tcPr>
            <w:tcW w:w="54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0.783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E4F87" w:rsidTr="002F015E">
        <w:trPr>
          <w:trHeight w:val="255"/>
        </w:trPr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color w:val="000000"/>
                <w:sz w:val="18"/>
                <w:szCs w:val="18"/>
                <w:lang w:val="de-DE" w:eastAsia="de-DE"/>
              </w:rPr>
            </w:pPr>
            <w:r>
              <w:rPr>
                <w:color w:val="000000"/>
                <w:sz w:val="18"/>
                <w:szCs w:val="18"/>
              </w:rPr>
              <w:t xml:space="preserve"> -F-B vs. O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0.006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0.003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2.15</w:t>
            </w:r>
          </w:p>
        </w:tc>
        <w:tc>
          <w:tcPr>
            <w:tcW w:w="627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0.032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684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93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0.003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2.47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0.014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0.194</w:t>
            </w:r>
          </w:p>
        </w:tc>
        <w:tc>
          <w:tcPr>
            <w:tcW w:w="54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0.783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E4F87" w:rsidTr="002F015E">
        <w:trPr>
          <w:trHeight w:val="255"/>
        </w:trPr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color w:val="000000"/>
                <w:sz w:val="18"/>
                <w:szCs w:val="18"/>
                <w:lang w:val="de-DE" w:eastAsia="de-DE"/>
              </w:rPr>
            </w:pPr>
            <w:r>
              <w:rPr>
                <w:color w:val="000000"/>
                <w:sz w:val="18"/>
                <w:szCs w:val="18"/>
              </w:rPr>
              <w:t xml:space="preserve"> -G-B vs. -G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0.006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0.003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2.38</w:t>
            </w:r>
          </w:p>
        </w:tc>
        <w:tc>
          <w:tcPr>
            <w:tcW w:w="627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0.017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684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93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0.51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0.612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0.653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0.23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0.822</w:t>
            </w:r>
          </w:p>
        </w:tc>
        <w:tc>
          <w:tcPr>
            <w:tcW w:w="54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0.937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E4F87" w:rsidTr="002F015E">
        <w:trPr>
          <w:trHeight w:val="255"/>
        </w:trPr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color w:val="000000"/>
                <w:sz w:val="18"/>
                <w:szCs w:val="18"/>
                <w:lang w:val="de-DE" w:eastAsia="de-DE"/>
              </w:rPr>
            </w:pPr>
            <w:r>
              <w:rPr>
                <w:color w:val="000000"/>
                <w:sz w:val="18"/>
                <w:szCs w:val="18"/>
              </w:rPr>
              <w:t xml:space="preserve"> -G-B vs. -B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0.005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0.002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2.41</w:t>
            </w:r>
          </w:p>
        </w:tc>
        <w:tc>
          <w:tcPr>
            <w:tcW w:w="627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0.016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684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93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0.67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0.505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0.577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0.43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0.668</w:t>
            </w:r>
          </w:p>
        </w:tc>
        <w:tc>
          <w:tcPr>
            <w:tcW w:w="54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0.937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E4F87" w:rsidTr="002F015E">
        <w:trPr>
          <w:trHeight w:val="255"/>
        </w:trPr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color w:val="000000"/>
                <w:sz w:val="18"/>
                <w:szCs w:val="18"/>
                <w:lang w:val="de-DE" w:eastAsia="de-DE"/>
              </w:rPr>
            </w:pPr>
            <w:r>
              <w:rPr>
                <w:color w:val="000000"/>
                <w:sz w:val="18"/>
                <w:szCs w:val="18"/>
              </w:rPr>
              <w:t xml:space="preserve"> -G-B vs. O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0.006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0.002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2.43</w:t>
            </w:r>
          </w:p>
        </w:tc>
        <w:tc>
          <w:tcPr>
            <w:tcW w:w="627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0.015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684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93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0.002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1.62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0.106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0.192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0.937</w:t>
            </w:r>
          </w:p>
        </w:tc>
        <w:tc>
          <w:tcPr>
            <w:tcW w:w="54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0.937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E4F87" w:rsidTr="002F015E">
        <w:trPr>
          <w:trHeight w:val="255"/>
        </w:trPr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color w:val="000000"/>
                <w:sz w:val="18"/>
                <w:szCs w:val="18"/>
                <w:lang w:val="de-DE" w:eastAsia="de-DE"/>
              </w:rPr>
            </w:pPr>
            <w:r>
              <w:rPr>
                <w:color w:val="000000"/>
                <w:sz w:val="18"/>
                <w:szCs w:val="18"/>
              </w:rPr>
              <w:t xml:space="preserve"> -G vs. -B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-0.001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0.002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-0.26</w:t>
            </w:r>
          </w:p>
        </w:tc>
        <w:tc>
          <w:tcPr>
            <w:tcW w:w="627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0.797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0.901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0.901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0.20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0.841</w:t>
            </w:r>
          </w:p>
        </w:tc>
        <w:tc>
          <w:tcPr>
            <w:tcW w:w="54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0.937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E4F87" w:rsidTr="002F015E">
        <w:trPr>
          <w:trHeight w:val="255"/>
        </w:trPr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color w:val="000000"/>
                <w:sz w:val="18"/>
                <w:szCs w:val="18"/>
                <w:lang w:val="de-DE" w:eastAsia="de-DE"/>
              </w:rPr>
            </w:pPr>
            <w:r>
              <w:rPr>
                <w:color w:val="000000"/>
                <w:sz w:val="18"/>
                <w:szCs w:val="18"/>
              </w:rPr>
              <w:t xml:space="preserve"> -G vs. O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0.000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0.002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-0.10</w:t>
            </w:r>
          </w:p>
        </w:tc>
        <w:tc>
          <w:tcPr>
            <w:tcW w:w="627" w:type="dxa"/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0.920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Pr="0016033A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0.981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Pr="0016033A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0.001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0.001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1.08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0.280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Pr="0016033A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0.406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Pr="0016033A" w:rsidRDefault="007E4F87" w:rsidP="002F015E">
            <w:pPr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0.000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0.001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-0.15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0.883</w:t>
            </w:r>
          </w:p>
        </w:tc>
        <w:tc>
          <w:tcPr>
            <w:tcW w:w="546" w:type="dxa"/>
            <w:noWrap/>
            <w:vAlign w:val="bottom"/>
            <w:hideMark/>
          </w:tcPr>
          <w:p w:rsidR="007E4F87" w:rsidRPr="0016033A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0.937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Pr="0016033A" w:rsidRDefault="007E4F87" w:rsidP="002F015E">
            <w:pPr>
              <w:rPr>
                <w:rFonts w:ascii="Arial" w:hAnsi="Arial" w:cs="Arial"/>
                <w:sz w:val="18"/>
                <w:szCs w:val="18"/>
              </w:rPr>
            </w:pPr>
            <w:r w:rsidRPr="0016033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E4F87" w:rsidTr="002F015E">
        <w:trPr>
          <w:trHeight w:val="270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color w:val="000000"/>
                <w:sz w:val="18"/>
                <w:szCs w:val="18"/>
                <w:lang w:val="de-DE" w:eastAsia="de-DE"/>
              </w:rPr>
            </w:pPr>
            <w:r>
              <w:rPr>
                <w:color w:val="000000"/>
                <w:sz w:val="18"/>
                <w:szCs w:val="18"/>
              </w:rPr>
              <w:t xml:space="preserve"> -B vs. O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0.000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0.002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0.16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0.871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4F87" w:rsidRPr="0016033A" w:rsidRDefault="007E4F87" w:rsidP="002F015E">
            <w:pPr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0.981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4F87" w:rsidRPr="0016033A" w:rsidRDefault="007E4F87" w:rsidP="002F015E">
            <w:pPr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0.001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0.001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1.03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0.305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4F87" w:rsidRPr="0016033A" w:rsidRDefault="007E4F87" w:rsidP="002F015E">
            <w:pPr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0.406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4F87" w:rsidRPr="0016033A" w:rsidRDefault="007E4F87" w:rsidP="002F015E">
            <w:pPr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0.000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0.001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-0.35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0.725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4F87" w:rsidRPr="0016033A" w:rsidRDefault="007E4F87" w:rsidP="002F015E">
            <w:pPr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0.937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E4F87" w:rsidRPr="0016033A" w:rsidRDefault="007E4F87" w:rsidP="002F015E">
            <w:pPr>
              <w:rPr>
                <w:rFonts w:ascii="Arial" w:hAnsi="Arial" w:cs="Arial"/>
                <w:sz w:val="18"/>
                <w:szCs w:val="18"/>
              </w:rPr>
            </w:pPr>
            <w:r w:rsidRPr="0016033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E4F87" w:rsidTr="002F015E">
        <w:trPr>
          <w:trHeight w:val="255"/>
        </w:trPr>
        <w:tc>
          <w:tcPr>
            <w:tcW w:w="1545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</w:tr>
      <w:tr w:rsidR="007E4F87" w:rsidTr="002F015E">
        <w:trPr>
          <w:trHeight w:val="270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b/>
                <w:bCs/>
                <w:sz w:val="18"/>
                <w:szCs w:val="18"/>
                <w:lang w:val="de-DE" w:eastAsia="de-DE"/>
              </w:rPr>
            </w:pPr>
            <w:r>
              <w:rPr>
                <w:b/>
                <w:bCs/>
                <w:sz w:val="18"/>
                <w:szCs w:val="18"/>
              </w:rPr>
              <w:t>B. Parasitism rate</w:t>
            </w:r>
          </w:p>
        </w:tc>
        <w:tc>
          <w:tcPr>
            <w:tcW w:w="21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b/>
                <w:bCs/>
                <w:sz w:val="18"/>
                <w:szCs w:val="18"/>
                <w:lang w:val="de-DE" w:eastAsia="de-DE"/>
              </w:rPr>
            </w:pPr>
            <w:r>
              <w:rPr>
                <w:b/>
                <w:bCs/>
                <w:sz w:val="18"/>
                <w:szCs w:val="18"/>
              </w:rPr>
              <w:t>Sampling date 1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b/>
                <w:bCs/>
                <w:sz w:val="18"/>
                <w:szCs w:val="18"/>
                <w:lang w:val="de-DE" w:eastAsia="de-DE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b/>
                <w:bCs/>
                <w:sz w:val="18"/>
                <w:szCs w:val="18"/>
                <w:lang w:val="de-DE" w:eastAsia="de-DE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b/>
                <w:bCs/>
                <w:sz w:val="18"/>
                <w:szCs w:val="18"/>
                <w:lang w:val="de-DE" w:eastAsia="de-DE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b/>
                <w:bCs/>
                <w:sz w:val="18"/>
                <w:szCs w:val="18"/>
                <w:lang w:val="de-DE" w:eastAsia="de-DE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b/>
                <w:bCs/>
                <w:sz w:val="18"/>
                <w:szCs w:val="18"/>
                <w:lang w:val="de-DE" w:eastAsia="de-DE"/>
              </w:rPr>
            </w:pPr>
            <w:r>
              <w:rPr>
                <w:b/>
                <w:bCs/>
                <w:sz w:val="18"/>
                <w:szCs w:val="18"/>
              </w:rPr>
              <w:t>Sampling date 2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b/>
                <w:bCs/>
                <w:sz w:val="18"/>
                <w:szCs w:val="18"/>
                <w:lang w:val="de-DE" w:eastAsia="de-DE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b/>
                <w:bCs/>
                <w:sz w:val="18"/>
                <w:szCs w:val="18"/>
                <w:lang w:val="de-DE" w:eastAsia="de-DE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b/>
                <w:bCs/>
                <w:sz w:val="18"/>
                <w:szCs w:val="18"/>
                <w:lang w:val="de-DE" w:eastAsia="de-DE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b/>
                <w:bCs/>
                <w:sz w:val="18"/>
                <w:szCs w:val="18"/>
                <w:lang w:val="de-DE" w:eastAsia="de-DE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3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b/>
                <w:bCs/>
                <w:sz w:val="18"/>
                <w:szCs w:val="18"/>
                <w:lang w:val="de-DE" w:eastAsia="de-DE"/>
              </w:rPr>
            </w:pPr>
            <w:r>
              <w:rPr>
                <w:b/>
                <w:bCs/>
                <w:sz w:val="18"/>
                <w:szCs w:val="18"/>
              </w:rPr>
              <w:t>Sampling date 3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b/>
                <w:bCs/>
                <w:sz w:val="18"/>
                <w:szCs w:val="18"/>
                <w:lang w:val="de-DE" w:eastAsia="de-DE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b/>
                <w:bCs/>
                <w:sz w:val="18"/>
                <w:szCs w:val="18"/>
                <w:lang w:val="de-DE" w:eastAsia="de-DE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b/>
                <w:bCs/>
                <w:sz w:val="18"/>
                <w:szCs w:val="18"/>
                <w:lang w:val="de-DE" w:eastAsia="de-DE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4F87" w:rsidTr="002F015E">
        <w:trPr>
          <w:trHeight w:val="270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>Treatments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>Estimate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>SE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>z value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>p (adjusted)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>Estimate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>SE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>z value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>p (adjusted)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>Estimate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>SE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>z value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>p (adjusted)</w:t>
            </w:r>
          </w:p>
        </w:tc>
      </w:tr>
      <w:tr w:rsidR="007E4F87" w:rsidTr="002F015E">
        <w:trPr>
          <w:trHeight w:val="255"/>
        </w:trPr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 xml:space="preserve"> -G-F-B vs. zero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-0.006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0.118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-0.05</w:t>
            </w:r>
          </w:p>
        </w:tc>
        <w:tc>
          <w:tcPr>
            <w:tcW w:w="627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0.960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84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0.967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-0.080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0.115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-0.70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0.486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0.778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-0.168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0.105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-1.60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0.111</w:t>
            </w:r>
          </w:p>
        </w:tc>
        <w:tc>
          <w:tcPr>
            <w:tcW w:w="54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2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0.352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E4F87" w:rsidTr="002F015E">
        <w:trPr>
          <w:trHeight w:val="255"/>
        </w:trPr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 xml:space="preserve"> -F-B vs. zero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0.251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0.132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1.90</w:t>
            </w:r>
          </w:p>
        </w:tc>
        <w:tc>
          <w:tcPr>
            <w:tcW w:w="627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0.057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684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0.222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0.128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1.74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0.082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0.437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0.247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0.131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1.89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0.059</w:t>
            </w:r>
          </w:p>
        </w:tc>
        <w:tc>
          <w:tcPr>
            <w:tcW w:w="54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711" w:type="dxa"/>
            <w:gridSpan w:val="2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0.317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E4F87" w:rsidTr="002F015E">
        <w:trPr>
          <w:trHeight w:val="255"/>
        </w:trPr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 xml:space="preserve"> -G-B vs. zero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0.356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0.132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2.70</w:t>
            </w:r>
          </w:p>
        </w:tc>
        <w:tc>
          <w:tcPr>
            <w:tcW w:w="627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0.007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684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0.345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0.129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2.68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0.007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0.119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0.381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0.132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2.88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0.004</w:t>
            </w:r>
          </w:p>
        </w:tc>
        <w:tc>
          <w:tcPr>
            <w:tcW w:w="54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711" w:type="dxa"/>
            <w:gridSpan w:val="2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0.063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</w:tr>
      <w:tr w:rsidR="007E4F87" w:rsidTr="002F015E">
        <w:trPr>
          <w:trHeight w:val="255"/>
        </w:trPr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lastRenderedPageBreak/>
              <w:t xml:space="preserve"> -G vs. zero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0.192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0.127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1.52</w:t>
            </w:r>
          </w:p>
        </w:tc>
        <w:tc>
          <w:tcPr>
            <w:tcW w:w="627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0.129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0.174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0.123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1.42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0.157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0.501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0.188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0.126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0.135</w:t>
            </w:r>
          </w:p>
        </w:tc>
        <w:tc>
          <w:tcPr>
            <w:tcW w:w="54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0.352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E4F87" w:rsidTr="002F015E">
        <w:trPr>
          <w:trHeight w:val="255"/>
        </w:trPr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 xml:space="preserve"> -B vs. zero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0.216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0.131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1.65</w:t>
            </w:r>
          </w:p>
        </w:tc>
        <w:tc>
          <w:tcPr>
            <w:tcW w:w="627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0.099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684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0.200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0.127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1.57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0.116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0.464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0.226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0.130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1.73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0.083</w:t>
            </w:r>
          </w:p>
        </w:tc>
        <w:tc>
          <w:tcPr>
            <w:tcW w:w="54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711" w:type="dxa"/>
            <w:gridSpan w:val="2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0.333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E4F87" w:rsidTr="002F015E">
        <w:trPr>
          <w:trHeight w:val="255"/>
        </w:trPr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 xml:space="preserve"> O vs. zero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0.221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0.119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1.85</w:t>
            </w:r>
          </w:p>
        </w:tc>
        <w:tc>
          <w:tcPr>
            <w:tcW w:w="627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0.064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684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0.207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0.116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1.78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0.074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0.437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0.236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0.119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1.99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0.047</w:t>
            </w:r>
          </w:p>
        </w:tc>
        <w:tc>
          <w:tcPr>
            <w:tcW w:w="54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711" w:type="dxa"/>
            <w:gridSpan w:val="2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0.317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E4F87" w:rsidTr="002F015E">
        <w:trPr>
          <w:trHeight w:val="255"/>
        </w:trPr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 xml:space="preserve"> -F-B vs. -G-B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-0.105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0.140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-0.75</w:t>
            </w:r>
          </w:p>
        </w:tc>
        <w:tc>
          <w:tcPr>
            <w:tcW w:w="627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0.455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-0.123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0.136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-0.91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0.364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0.646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-0.134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0.139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-0.96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0.335</w:t>
            </w:r>
          </w:p>
        </w:tc>
        <w:tc>
          <w:tcPr>
            <w:tcW w:w="54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0.536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E4F87" w:rsidTr="002F015E">
        <w:trPr>
          <w:trHeight w:val="255"/>
        </w:trPr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 xml:space="preserve"> -F-B vs. -G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0.059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0.134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0.44</w:t>
            </w:r>
          </w:p>
        </w:tc>
        <w:tc>
          <w:tcPr>
            <w:tcW w:w="627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0.658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0.967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0.048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0.130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0.37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0.713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0.951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0.059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0.133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0.44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0.657</w:t>
            </w:r>
          </w:p>
        </w:tc>
        <w:tc>
          <w:tcPr>
            <w:tcW w:w="54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E4F87" w:rsidTr="002F015E">
        <w:trPr>
          <w:trHeight w:val="255"/>
        </w:trPr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 xml:space="preserve"> -F-B vs. -B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0.036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0.138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0.26</w:t>
            </w:r>
          </w:p>
        </w:tc>
        <w:tc>
          <w:tcPr>
            <w:tcW w:w="627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0.796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0.967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0.022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0.134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0.17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0.869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0.951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0.021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0.137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0.16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0.875</w:t>
            </w:r>
          </w:p>
        </w:tc>
        <w:tc>
          <w:tcPr>
            <w:tcW w:w="54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E4F87" w:rsidTr="002F015E">
        <w:trPr>
          <w:trHeight w:val="255"/>
        </w:trPr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 xml:space="preserve"> -F-B vs. O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0.030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0.130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0.23</w:t>
            </w:r>
          </w:p>
        </w:tc>
        <w:tc>
          <w:tcPr>
            <w:tcW w:w="627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0.815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0.967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0.015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0.126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0.907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0.951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0.011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0.129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0.09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0.931</w:t>
            </w:r>
          </w:p>
        </w:tc>
        <w:tc>
          <w:tcPr>
            <w:tcW w:w="54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E4F87" w:rsidTr="002F015E">
        <w:trPr>
          <w:trHeight w:val="255"/>
        </w:trPr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 xml:space="preserve"> -G-B vs. -G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0.164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0.136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</w:t>
            </w:r>
          </w:p>
        </w:tc>
        <w:tc>
          <w:tcPr>
            <w:tcW w:w="627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0.228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0.608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0.171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0.133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1.29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0.197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0.525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0.193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0.136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1.43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0.154</w:t>
            </w:r>
          </w:p>
        </w:tc>
        <w:tc>
          <w:tcPr>
            <w:tcW w:w="54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0.352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E4F87" w:rsidTr="002F015E">
        <w:trPr>
          <w:trHeight w:val="255"/>
        </w:trPr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 xml:space="preserve"> -G-B vs. -B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0.140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0.139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</w:t>
            </w:r>
          </w:p>
        </w:tc>
        <w:tc>
          <w:tcPr>
            <w:tcW w:w="627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0.313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0.145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0.136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1.07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0.284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0.568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0.156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0.139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0.262</w:t>
            </w:r>
          </w:p>
        </w:tc>
        <w:tc>
          <w:tcPr>
            <w:tcW w:w="54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0.468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E4F87" w:rsidTr="002F015E">
        <w:trPr>
          <w:trHeight w:val="255"/>
        </w:trPr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 xml:space="preserve"> -G-B vs. O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0.135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0.130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1.04</w:t>
            </w:r>
          </w:p>
        </w:tc>
        <w:tc>
          <w:tcPr>
            <w:tcW w:w="627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0.299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0.138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0.127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0.278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0.568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0.145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0.130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0.263</w:t>
            </w:r>
          </w:p>
        </w:tc>
        <w:tc>
          <w:tcPr>
            <w:tcW w:w="54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0.468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E4F87" w:rsidTr="002F015E">
        <w:trPr>
          <w:trHeight w:val="255"/>
        </w:trPr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 xml:space="preserve"> -G vs. -B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-0.024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0.129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-0.19</w:t>
            </w:r>
          </w:p>
        </w:tc>
        <w:tc>
          <w:tcPr>
            <w:tcW w:w="627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0.854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0.967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-0.026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0.125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-0.21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0.836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0.951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-0.038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0.128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-0.30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0.768</w:t>
            </w:r>
          </w:p>
        </w:tc>
        <w:tc>
          <w:tcPr>
            <w:tcW w:w="546" w:type="dxa"/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noWrap/>
            <w:vAlign w:val="bottom"/>
            <w:hideMark/>
          </w:tcPr>
          <w:p w:rsidR="007E4F87" w:rsidRDefault="007E4F87" w:rsidP="002F0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E4F87" w:rsidTr="002F015E">
        <w:trPr>
          <w:trHeight w:val="255"/>
        </w:trPr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 xml:space="preserve"> -G vs. O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-0.029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0.121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-0.24</w:t>
            </w:r>
          </w:p>
        </w:tc>
        <w:tc>
          <w:tcPr>
            <w:tcW w:w="627" w:type="dxa"/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0.812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Pr="0016033A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0.967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Pr="0016033A" w:rsidRDefault="007E4F87" w:rsidP="002F015E">
            <w:pPr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-0.033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0.118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-0.28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0.778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Pr="0016033A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0.951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Pr="0016033A" w:rsidRDefault="007E4F87" w:rsidP="002F015E">
            <w:pPr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-0.048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0.121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-0.40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0.690</w:t>
            </w:r>
          </w:p>
        </w:tc>
        <w:tc>
          <w:tcPr>
            <w:tcW w:w="546" w:type="dxa"/>
            <w:noWrap/>
            <w:vAlign w:val="bottom"/>
            <w:hideMark/>
          </w:tcPr>
          <w:p w:rsidR="007E4F87" w:rsidRPr="0016033A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0.920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F87" w:rsidTr="002F015E">
        <w:trPr>
          <w:trHeight w:val="270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 xml:space="preserve"> -B vs. O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-0.005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0.125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-0.04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0.967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4F87" w:rsidRPr="0016033A" w:rsidRDefault="007E4F87" w:rsidP="002F015E">
            <w:pPr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0.967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4F87" w:rsidRPr="0016033A" w:rsidRDefault="007E4F87" w:rsidP="002F015E">
            <w:pPr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-0.007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0.122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-0.06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0.951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4F87" w:rsidRPr="0016033A" w:rsidRDefault="007E4F87" w:rsidP="002F015E">
            <w:pPr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0.951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4F87" w:rsidRPr="0016033A" w:rsidRDefault="007E4F87" w:rsidP="002F015E">
            <w:pPr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-0.010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0.124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-0.08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0.934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4F87" w:rsidRPr="0016033A" w:rsidRDefault="007E4F87" w:rsidP="002F015E">
            <w:pPr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4F87" w:rsidRPr="0016033A" w:rsidRDefault="007E4F87" w:rsidP="002F015E">
            <w:pPr>
              <w:jc w:val="right"/>
              <w:rPr>
                <w:sz w:val="18"/>
                <w:szCs w:val="18"/>
              </w:rPr>
            </w:pPr>
            <w:r w:rsidRPr="0016033A">
              <w:rPr>
                <w:sz w:val="18"/>
                <w:szCs w:val="18"/>
              </w:rPr>
              <w:t>0.934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F87" w:rsidTr="002F015E">
        <w:trPr>
          <w:trHeight w:val="255"/>
        </w:trPr>
        <w:tc>
          <w:tcPr>
            <w:tcW w:w="1545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</w:tr>
      <w:tr w:rsidR="007E4F87" w:rsidTr="002F015E">
        <w:trPr>
          <w:trHeight w:val="255"/>
        </w:trPr>
        <w:tc>
          <w:tcPr>
            <w:tcW w:w="1545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noWrap/>
            <w:vAlign w:val="bottom"/>
            <w:hideMark/>
          </w:tcPr>
          <w:p w:rsidR="007E4F87" w:rsidRDefault="007E4F87" w:rsidP="002F015E">
            <w:pPr>
              <w:rPr>
                <w:sz w:val="20"/>
                <w:szCs w:val="20"/>
              </w:rPr>
            </w:pPr>
          </w:p>
        </w:tc>
      </w:tr>
      <w:tr w:rsidR="007E4F87" w:rsidTr="002F015E">
        <w:trPr>
          <w:trHeight w:val="270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b/>
                <w:bCs/>
                <w:sz w:val="18"/>
                <w:szCs w:val="18"/>
                <w:lang w:val="de-DE" w:eastAsia="de-DE"/>
              </w:rPr>
            </w:pPr>
            <w:r>
              <w:rPr>
                <w:b/>
                <w:bCs/>
                <w:sz w:val="18"/>
                <w:szCs w:val="18"/>
              </w:rPr>
              <w:t xml:space="preserve">C. </w:t>
            </w:r>
            <w:proofErr w:type="spellStart"/>
            <w:r>
              <w:rPr>
                <w:b/>
                <w:bCs/>
                <w:sz w:val="18"/>
                <w:szCs w:val="18"/>
              </w:rPr>
              <w:t>Syrphid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fraction</w:t>
            </w:r>
          </w:p>
        </w:tc>
        <w:tc>
          <w:tcPr>
            <w:tcW w:w="21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b/>
                <w:bCs/>
                <w:sz w:val="18"/>
                <w:szCs w:val="18"/>
                <w:lang w:val="de-DE" w:eastAsia="de-DE"/>
              </w:rPr>
            </w:pPr>
            <w:r>
              <w:rPr>
                <w:b/>
                <w:bCs/>
                <w:sz w:val="18"/>
                <w:szCs w:val="18"/>
              </w:rPr>
              <w:t>Sampling date 1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b/>
                <w:bCs/>
                <w:sz w:val="18"/>
                <w:szCs w:val="18"/>
                <w:lang w:val="de-DE" w:eastAsia="de-DE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b/>
                <w:bCs/>
                <w:sz w:val="18"/>
                <w:szCs w:val="18"/>
                <w:lang w:val="de-DE" w:eastAsia="de-DE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b/>
                <w:bCs/>
                <w:sz w:val="18"/>
                <w:szCs w:val="18"/>
                <w:lang w:val="de-DE" w:eastAsia="de-DE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b/>
                <w:bCs/>
                <w:sz w:val="18"/>
                <w:szCs w:val="18"/>
                <w:lang w:val="de-DE" w:eastAsia="de-DE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b/>
                <w:bCs/>
                <w:sz w:val="18"/>
                <w:szCs w:val="18"/>
                <w:lang w:val="de-DE" w:eastAsia="de-DE"/>
              </w:rPr>
            </w:pPr>
            <w:r>
              <w:rPr>
                <w:b/>
                <w:bCs/>
                <w:sz w:val="18"/>
                <w:szCs w:val="18"/>
              </w:rPr>
              <w:t>Sampling date 2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b/>
                <w:bCs/>
                <w:sz w:val="18"/>
                <w:szCs w:val="18"/>
                <w:lang w:val="de-DE" w:eastAsia="de-DE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b/>
                <w:bCs/>
                <w:sz w:val="18"/>
                <w:szCs w:val="18"/>
                <w:lang w:val="de-DE" w:eastAsia="de-DE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b/>
                <w:bCs/>
                <w:sz w:val="18"/>
                <w:szCs w:val="18"/>
                <w:lang w:val="de-DE" w:eastAsia="de-DE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b/>
                <w:bCs/>
                <w:sz w:val="18"/>
                <w:szCs w:val="18"/>
                <w:lang w:val="de-DE" w:eastAsia="de-DE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3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b/>
                <w:bCs/>
                <w:sz w:val="18"/>
                <w:szCs w:val="18"/>
                <w:lang w:val="de-DE" w:eastAsia="de-DE"/>
              </w:rPr>
            </w:pPr>
            <w:r>
              <w:rPr>
                <w:b/>
                <w:bCs/>
                <w:sz w:val="18"/>
                <w:szCs w:val="18"/>
              </w:rPr>
              <w:t>Sampling date 3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b/>
                <w:bCs/>
                <w:sz w:val="18"/>
                <w:szCs w:val="18"/>
                <w:lang w:val="de-DE" w:eastAsia="de-DE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b/>
                <w:bCs/>
                <w:sz w:val="18"/>
                <w:szCs w:val="18"/>
                <w:lang w:val="de-DE" w:eastAsia="de-DE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b/>
                <w:bCs/>
                <w:sz w:val="18"/>
                <w:szCs w:val="18"/>
                <w:lang w:val="de-DE" w:eastAsia="de-DE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Default="007E4F87" w:rsidP="002F015E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4F87" w:rsidTr="002F015E">
        <w:trPr>
          <w:trHeight w:val="270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>Treatments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>Estimate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>SE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>z value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>p (adjusted)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>Estimate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>SE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>z value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>p (adjusted)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>Estimate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>SE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>z value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>p (adjusted)</w:t>
            </w:r>
          </w:p>
        </w:tc>
      </w:tr>
      <w:tr w:rsidR="007E4F87" w:rsidTr="002F015E">
        <w:trPr>
          <w:trHeight w:val="255"/>
        </w:trPr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 xml:space="preserve"> -G-F-B vs. zero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-0.116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0.106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-1.09</w:t>
            </w:r>
          </w:p>
        </w:tc>
        <w:tc>
          <w:tcPr>
            <w:tcW w:w="627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0.274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 </w:t>
            </w:r>
          </w:p>
        </w:tc>
        <w:tc>
          <w:tcPr>
            <w:tcW w:w="684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0.487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-0.199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0.103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-1.93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0.054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.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0.172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-0.170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0.093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-1.84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0.067</w:t>
            </w:r>
          </w:p>
        </w:tc>
        <w:tc>
          <w:tcPr>
            <w:tcW w:w="546" w:type="dxa"/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.</w:t>
            </w:r>
          </w:p>
        </w:tc>
        <w:tc>
          <w:tcPr>
            <w:tcW w:w="801" w:type="dxa"/>
            <w:gridSpan w:val="3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0.226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 </w:t>
            </w:r>
          </w:p>
        </w:tc>
      </w:tr>
      <w:tr w:rsidR="007E4F87" w:rsidTr="002F015E">
        <w:trPr>
          <w:trHeight w:val="255"/>
        </w:trPr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 xml:space="preserve"> -F-B vs. zero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0.207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0.107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1.93</w:t>
            </w:r>
          </w:p>
        </w:tc>
        <w:tc>
          <w:tcPr>
            <w:tcW w:w="627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0.054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.</w:t>
            </w:r>
          </w:p>
        </w:tc>
        <w:tc>
          <w:tcPr>
            <w:tcW w:w="684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0.215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0.208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0.106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1.96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0.050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*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0.172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0.192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0.106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1.81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0.071</w:t>
            </w:r>
          </w:p>
        </w:tc>
        <w:tc>
          <w:tcPr>
            <w:tcW w:w="546" w:type="dxa"/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.</w:t>
            </w:r>
          </w:p>
        </w:tc>
        <w:tc>
          <w:tcPr>
            <w:tcW w:w="801" w:type="dxa"/>
            <w:gridSpan w:val="3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0.226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 </w:t>
            </w:r>
          </w:p>
        </w:tc>
      </w:tr>
      <w:tr w:rsidR="007E4F87" w:rsidTr="002F015E">
        <w:trPr>
          <w:trHeight w:val="255"/>
        </w:trPr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 xml:space="preserve"> -G-B vs. zero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0.366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0.116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3.14</w:t>
            </w:r>
          </w:p>
        </w:tc>
        <w:tc>
          <w:tcPr>
            <w:tcW w:w="627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0.002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**</w:t>
            </w:r>
          </w:p>
        </w:tc>
        <w:tc>
          <w:tcPr>
            <w:tcW w:w="684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0.027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*</w:t>
            </w:r>
          </w:p>
        </w:tc>
        <w:tc>
          <w:tcPr>
            <w:tcW w:w="93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0.359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0.114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3.14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0.002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**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0.027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*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0.355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0.116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3.07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0.002</w:t>
            </w:r>
          </w:p>
        </w:tc>
        <w:tc>
          <w:tcPr>
            <w:tcW w:w="546" w:type="dxa"/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**</w:t>
            </w:r>
          </w:p>
        </w:tc>
        <w:tc>
          <w:tcPr>
            <w:tcW w:w="801" w:type="dxa"/>
            <w:gridSpan w:val="3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0.035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*</w:t>
            </w:r>
          </w:p>
        </w:tc>
      </w:tr>
      <w:tr w:rsidR="007E4F87" w:rsidTr="002F015E">
        <w:trPr>
          <w:trHeight w:val="255"/>
        </w:trPr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 xml:space="preserve"> -G vs. zero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0.181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0.106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1.70</w:t>
            </w:r>
          </w:p>
        </w:tc>
        <w:tc>
          <w:tcPr>
            <w:tcW w:w="627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0.089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.</w:t>
            </w:r>
          </w:p>
        </w:tc>
        <w:tc>
          <w:tcPr>
            <w:tcW w:w="684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0.253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0.172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0.104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1.65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0.099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.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0.226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0.178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0.106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1.68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0.093</w:t>
            </w:r>
          </w:p>
        </w:tc>
        <w:tc>
          <w:tcPr>
            <w:tcW w:w="546" w:type="dxa"/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.</w:t>
            </w:r>
          </w:p>
        </w:tc>
        <w:tc>
          <w:tcPr>
            <w:tcW w:w="801" w:type="dxa"/>
            <w:gridSpan w:val="3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0.248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 </w:t>
            </w:r>
          </w:p>
        </w:tc>
      </w:tr>
      <w:tr w:rsidR="007E4F87" w:rsidTr="002F015E">
        <w:trPr>
          <w:trHeight w:val="255"/>
        </w:trPr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 xml:space="preserve"> -B vs. zero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0.292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0.114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2.55</w:t>
            </w:r>
          </w:p>
        </w:tc>
        <w:tc>
          <w:tcPr>
            <w:tcW w:w="627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0.011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*</w:t>
            </w:r>
          </w:p>
        </w:tc>
        <w:tc>
          <w:tcPr>
            <w:tcW w:w="684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0.083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.</w:t>
            </w:r>
          </w:p>
        </w:tc>
        <w:tc>
          <w:tcPr>
            <w:tcW w:w="93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0.290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0.114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2.55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0.011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*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0.086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.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0.292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0.114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2.56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0.011</w:t>
            </w:r>
          </w:p>
        </w:tc>
        <w:tc>
          <w:tcPr>
            <w:tcW w:w="546" w:type="dxa"/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*</w:t>
            </w:r>
          </w:p>
        </w:tc>
        <w:tc>
          <w:tcPr>
            <w:tcW w:w="801" w:type="dxa"/>
            <w:gridSpan w:val="3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0.085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.</w:t>
            </w:r>
          </w:p>
        </w:tc>
      </w:tr>
      <w:tr w:rsidR="007E4F87" w:rsidTr="002F015E">
        <w:trPr>
          <w:trHeight w:val="255"/>
        </w:trPr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 xml:space="preserve"> O vs. zero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0.249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0.103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2.42</w:t>
            </w:r>
          </w:p>
        </w:tc>
        <w:tc>
          <w:tcPr>
            <w:tcW w:w="627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0.016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*</w:t>
            </w:r>
          </w:p>
        </w:tc>
        <w:tc>
          <w:tcPr>
            <w:tcW w:w="684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0.083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.</w:t>
            </w:r>
          </w:p>
        </w:tc>
        <w:tc>
          <w:tcPr>
            <w:tcW w:w="93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0.237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0.101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2.34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0.019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*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0.103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0.244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0.103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2.38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0.017</w:t>
            </w:r>
          </w:p>
        </w:tc>
        <w:tc>
          <w:tcPr>
            <w:tcW w:w="546" w:type="dxa"/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*</w:t>
            </w:r>
          </w:p>
        </w:tc>
        <w:tc>
          <w:tcPr>
            <w:tcW w:w="801" w:type="dxa"/>
            <w:gridSpan w:val="3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0.093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.</w:t>
            </w:r>
          </w:p>
        </w:tc>
      </w:tr>
      <w:tr w:rsidR="007E4F87" w:rsidTr="002F015E">
        <w:trPr>
          <w:trHeight w:val="255"/>
        </w:trPr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 xml:space="preserve"> -F-B vs. -G-B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-0.159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0.110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-1.45</w:t>
            </w:r>
          </w:p>
        </w:tc>
        <w:tc>
          <w:tcPr>
            <w:tcW w:w="627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0.147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0.337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-0.151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0.108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-1.40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0.161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0.321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-0.163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0.109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-1.49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0.136</w:t>
            </w:r>
          </w:p>
        </w:tc>
        <w:tc>
          <w:tcPr>
            <w:tcW w:w="546" w:type="dxa"/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0.272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 </w:t>
            </w:r>
          </w:p>
        </w:tc>
      </w:tr>
      <w:tr w:rsidR="007E4F87" w:rsidTr="002F015E">
        <w:trPr>
          <w:trHeight w:val="255"/>
        </w:trPr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 xml:space="preserve"> -F-B vs. -G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0.026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0.106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0.25</w:t>
            </w:r>
          </w:p>
        </w:tc>
        <w:tc>
          <w:tcPr>
            <w:tcW w:w="627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0.806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0.806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0.036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0.105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0.34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0.735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0.777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0.014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0.106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0.13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0.894</w:t>
            </w:r>
          </w:p>
        </w:tc>
        <w:tc>
          <w:tcPr>
            <w:tcW w:w="546" w:type="dxa"/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0.894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 </w:t>
            </w:r>
          </w:p>
        </w:tc>
      </w:tr>
      <w:tr w:rsidR="007E4F87" w:rsidTr="002F015E">
        <w:trPr>
          <w:trHeight w:val="255"/>
        </w:trPr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 xml:space="preserve"> -F-B vs. -B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-0.085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0.111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-0.77</w:t>
            </w:r>
          </w:p>
        </w:tc>
        <w:tc>
          <w:tcPr>
            <w:tcW w:w="627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0.443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0.631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-0.082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0.110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-0.74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0.458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0.655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-0.100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0.111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-0.90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0.368</w:t>
            </w:r>
          </w:p>
        </w:tc>
        <w:tc>
          <w:tcPr>
            <w:tcW w:w="546" w:type="dxa"/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0.535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 </w:t>
            </w:r>
          </w:p>
        </w:tc>
      </w:tr>
      <w:tr w:rsidR="007E4F87" w:rsidTr="002F015E">
        <w:trPr>
          <w:trHeight w:val="255"/>
        </w:trPr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 xml:space="preserve"> -F-B vs. O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-0.042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0.103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-0.41</w:t>
            </w:r>
          </w:p>
        </w:tc>
        <w:tc>
          <w:tcPr>
            <w:tcW w:w="627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0.682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0.730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-0.029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0.101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-0.28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0.777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0.777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-0.053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0.102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-0.51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0.608</w:t>
            </w:r>
          </w:p>
        </w:tc>
        <w:tc>
          <w:tcPr>
            <w:tcW w:w="546" w:type="dxa"/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0.695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 </w:t>
            </w:r>
          </w:p>
        </w:tc>
      </w:tr>
      <w:tr w:rsidR="007E4F87" w:rsidTr="002F015E">
        <w:trPr>
          <w:trHeight w:val="255"/>
        </w:trPr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 xml:space="preserve"> -G-B vs. -G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0.185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0.111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1.67</w:t>
            </w:r>
          </w:p>
        </w:tc>
        <w:tc>
          <w:tcPr>
            <w:tcW w:w="627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0.095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.</w:t>
            </w:r>
          </w:p>
        </w:tc>
        <w:tc>
          <w:tcPr>
            <w:tcW w:w="684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0.253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0.187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0.109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1.72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0.086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.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0.226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0.177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0.110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1.60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0.109</w:t>
            </w:r>
          </w:p>
        </w:tc>
        <w:tc>
          <w:tcPr>
            <w:tcW w:w="546" w:type="dxa"/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0.249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 </w:t>
            </w:r>
          </w:p>
        </w:tc>
      </w:tr>
      <w:tr w:rsidR="007E4F87" w:rsidTr="002F015E">
        <w:trPr>
          <w:trHeight w:val="255"/>
        </w:trPr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 xml:space="preserve"> -G-B vs. -B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0.074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0.113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0.66</w:t>
            </w:r>
          </w:p>
        </w:tc>
        <w:tc>
          <w:tcPr>
            <w:tcW w:w="627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0.512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0.631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0.070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0.111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0.62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0.532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0.655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0.063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0.113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0.56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0.575</w:t>
            </w:r>
          </w:p>
        </w:tc>
        <w:tc>
          <w:tcPr>
            <w:tcW w:w="546" w:type="dxa"/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0.695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 </w:t>
            </w:r>
          </w:p>
        </w:tc>
      </w:tr>
      <w:tr w:rsidR="007E4F87" w:rsidTr="002F015E">
        <w:trPr>
          <w:trHeight w:val="255"/>
        </w:trPr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 xml:space="preserve"> -G-B vs. O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0.117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0.106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1.10</w:t>
            </w:r>
          </w:p>
        </w:tc>
        <w:tc>
          <w:tcPr>
            <w:tcW w:w="627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0.271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0.487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0.123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0.104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1.18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0.239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0.425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0.110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0.106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1.04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0.298</w:t>
            </w:r>
          </w:p>
        </w:tc>
        <w:tc>
          <w:tcPr>
            <w:tcW w:w="546" w:type="dxa"/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0.482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 </w:t>
            </w:r>
          </w:p>
        </w:tc>
      </w:tr>
      <w:tr w:rsidR="007E4F87" w:rsidTr="002F015E">
        <w:trPr>
          <w:trHeight w:val="255"/>
        </w:trPr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 xml:space="preserve"> -G vs. -B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-0.111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0.110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-1.01</w:t>
            </w:r>
          </w:p>
        </w:tc>
        <w:tc>
          <w:tcPr>
            <w:tcW w:w="627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0.313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0.501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-0.117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0.109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-1.07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0.284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0.455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-0.114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0.110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-1.03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0.301</w:t>
            </w:r>
          </w:p>
        </w:tc>
        <w:tc>
          <w:tcPr>
            <w:tcW w:w="546" w:type="dxa"/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0.482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 </w:t>
            </w:r>
          </w:p>
        </w:tc>
      </w:tr>
      <w:tr w:rsidR="007E4F87" w:rsidTr="002F015E">
        <w:trPr>
          <w:trHeight w:val="255"/>
        </w:trPr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 xml:space="preserve"> -G vs. O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-0.068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0.102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-0.67</w:t>
            </w:r>
          </w:p>
        </w:tc>
        <w:tc>
          <w:tcPr>
            <w:tcW w:w="627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0.503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0.631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-0.064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0.100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-0.64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0.521</w:t>
            </w:r>
          </w:p>
        </w:tc>
        <w:tc>
          <w:tcPr>
            <w:tcW w:w="486" w:type="dxa"/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0.655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-0.067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0.102</w:t>
            </w:r>
          </w:p>
        </w:tc>
        <w:tc>
          <w:tcPr>
            <w:tcW w:w="621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-0.66</w:t>
            </w:r>
          </w:p>
        </w:tc>
        <w:tc>
          <w:tcPr>
            <w:tcW w:w="666" w:type="dxa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0.512</w:t>
            </w:r>
          </w:p>
        </w:tc>
        <w:tc>
          <w:tcPr>
            <w:tcW w:w="546" w:type="dxa"/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0.683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 </w:t>
            </w:r>
          </w:p>
        </w:tc>
      </w:tr>
      <w:tr w:rsidR="007E4F87" w:rsidTr="002F015E">
        <w:trPr>
          <w:trHeight w:val="270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E4F87" w:rsidRDefault="007E4F87" w:rsidP="002F015E">
            <w:pPr>
              <w:rPr>
                <w:sz w:val="18"/>
                <w:szCs w:val="18"/>
                <w:lang w:val="de-DE" w:eastAsia="de-DE"/>
              </w:rPr>
            </w:pPr>
            <w:r>
              <w:rPr>
                <w:sz w:val="18"/>
                <w:szCs w:val="18"/>
              </w:rPr>
              <w:t xml:space="preserve"> -B vs. O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0.043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0.41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0.684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0.730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0.053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0.613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0.701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0.047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0.106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0.656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4F87" w:rsidRPr="002D29BF" w:rsidRDefault="007E4F87" w:rsidP="002F015E">
            <w:pPr>
              <w:jc w:val="right"/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0.700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4F87" w:rsidRPr="002D29BF" w:rsidRDefault="007E4F87" w:rsidP="002F015E">
            <w:pPr>
              <w:rPr>
                <w:sz w:val="18"/>
                <w:szCs w:val="18"/>
              </w:rPr>
            </w:pPr>
            <w:r w:rsidRPr="002D29BF">
              <w:rPr>
                <w:sz w:val="18"/>
                <w:szCs w:val="18"/>
              </w:rPr>
              <w:t> </w:t>
            </w:r>
          </w:p>
        </w:tc>
      </w:tr>
    </w:tbl>
    <w:p w:rsidR="001A0961" w:rsidRDefault="001A0961"/>
    <w:sectPr w:rsidR="001A0961" w:rsidSect="007E4F87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EE"/>
    <w:rsid w:val="00011F2B"/>
    <w:rsid w:val="00112EEE"/>
    <w:rsid w:val="00187F61"/>
    <w:rsid w:val="001A0961"/>
    <w:rsid w:val="003010F7"/>
    <w:rsid w:val="00527E88"/>
    <w:rsid w:val="00723AF6"/>
    <w:rsid w:val="007E4F87"/>
    <w:rsid w:val="00A10284"/>
    <w:rsid w:val="00EE79D9"/>
    <w:rsid w:val="00F0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rsid w:val="007E4F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4F87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rsid w:val="007E4F87"/>
    <w:rPr>
      <w:sz w:val="18"/>
      <w:szCs w:val="18"/>
    </w:rPr>
  </w:style>
  <w:style w:type="paragraph" w:styleId="CommentText">
    <w:name w:val="annotation text"/>
    <w:basedOn w:val="Normal"/>
    <w:link w:val="CommentTextChar"/>
    <w:rsid w:val="007E4F87"/>
  </w:style>
  <w:style w:type="character" w:customStyle="1" w:styleId="CommentTextChar">
    <w:name w:val="Comment Text Char"/>
    <w:basedOn w:val="DefaultParagraphFont"/>
    <w:link w:val="CommentText"/>
    <w:rsid w:val="007E4F87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E4F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E4F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7E4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4F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E4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F8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rsid w:val="007E4F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4F87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rsid w:val="007E4F87"/>
    <w:rPr>
      <w:sz w:val="18"/>
      <w:szCs w:val="18"/>
    </w:rPr>
  </w:style>
  <w:style w:type="paragraph" w:styleId="CommentText">
    <w:name w:val="annotation text"/>
    <w:basedOn w:val="Normal"/>
    <w:link w:val="CommentTextChar"/>
    <w:rsid w:val="007E4F87"/>
  </w:style>
  <w:style w:type="character" w:customStyle="1" w:styleId="CommentTextChar">
    <w:name w:val="Comment Text Char"/>
    <w:basedOn w:val="DefaultParagraphFont"/>
    <w:link w:val="CommentText"/>
    <w:rsid w:val="007E4F87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E4F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E4F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7E4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4F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E4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F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1070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Martin</dc:creator>
  <cp:keywords/>
  <dc:description/>
  <cp:lastModifiedBy>Emily Martin</cp:lastModifiedBy>
  <cp:revision>2</cp:revision>
  <dcterms:created xsi:type="dcterms:W3CDTF">2015-06-17T20:12:00Z</dcterms:created>
  <dcterms:modified xsi:type="dcterms:W3CDTF">2015-06-17T20:13:00Z</dcterms:modified>
</cp:coreProperties>
</file>