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A8" w:rsidRDefault="00F331A8" w:rsidP="00F331A8">
      <w:pPr>
        <w:pStyle w:val="BATitle"/>
      </w:pPr>
      <w:r>
        <w:t>SUPPLEMENTARY MATERIALS</w:t>
      </w:r>
    </w:p>
    <w:p w:rsidR="00F331A8" w:rsidRPr="00DD08B8" w:rsidRDefault="00F331A8" w:rsidP="00F331A8">
      <w:pPr>
        <w:pStyle w:val="BATitle"/>
      </w:pPr>
      <w:r>
        <w:t>I</w:t>
      </w:r>
      <w:r w:rsidRPr="00DD08B8">
        <w:t xml:space="preserve">ntrinsically disordered </w:t>
      </w:r>
      <w:proofErr w:type="spellStart"/>
      <w:r w:rsidRPr="00DD08B8">
        <w:t>caldesmon</w:t>
      </w:r>
      <w:proofErr w:type="spellEnd"/>
      <w:r w:rsidRPr="00DD08B8">
        <w:t xml:space="preserve"> bind</w:t>
      </w:r>
      <w:r>
        <w:t>s</w:t>
      </w:r>
      <w:r w:rsidRPr="00DD08B8">
        <w:t xml:space="preserve"> </w:t>
      </w:r>
      <w:proofErr w:type="spellStart"/>
      <w:r w:rsidRPr="00DD08B8">
        <w:t>calmodulin</w:t>
      </w:r>
      <w:proofErr w:type="spellEnd"/>
      <w:r w:rsidRPr="00DD08B8">
        <w:t xml:space="preserve"> via the “buttons on a string” mechanism</w:t>
      </w:r>
    </w:p>
    <w:p w:rsidR="00F331A8" w:rsidRDefault="00F331A8" w:rsidP="00F331A8">
      <w:pPr>
        <w:pStyle w:val="BBAuthorName"/>
        <w:rPr>
          <w:vertAlign w:val="superscript"/>
        </w:rPr>
      </w:pPr>
      <w:r w:rsidRPr="00DD08B8">
        <w:t xml:space="preserve">Sergei E. </w:t>
      </w:r>
      <w:proofErr w:type="spellStart"/>
      <w:r w:rsidRPr="00DD08B8">
        <w:t>Permyakov</w:t>
      </w:r>
      <w:proofErr w:type="spellEnd"/>
      <w:r w:rsidRPr="00DD08B8">
        <w:t>,</w:t>
      </w:r>
      <w:r w:rsidRPr="003A4F4E">
        <w:rPr>
          <w:rFonts w:cs="Times"/>
          <w:vertAlign w:val="superscript"/>
        </w:rPr>
        <w:t xml:space="preserve"> </w:t>
      </w:r>
      <w:r w:rsidRPr="0083108C">
        <w:rPr>
          <w:rFonts w:cs="Times"/>
          <w:vertAlign w:val="superscript"/>
        </w:rPr>
        <w:t>†</w:t>
      </w:r>
      <w:r w:rsidRPr="00DD08B8">
        <w:t xml:space="preserve"> Eugene A. </w:t>
      </w:r>
      <w:proofErr w:type="spellStart"/>
      <w:r w:rsidRPr="00DD08B8">
        <w:t>Permyakov</w:t>
      </w:r>
      <w:proofErr w:type="spellEnd"/>
      <w:r w:rsidRPr="00DD08B8">
        <w:t>,</w:t>
      </w:r>
      <w:r w:rsidRPr="003A4F4E">
        <w:rPr>
          <w:rFonts w:cs="Times"/>
          <w:vertAlign w:val="superscript"/>
        </w:rPr>
        <w:t xml:space="preserve"> </w:t>
      </w:r>
      <w:r w:rsidRPr="0083108C">
        <w:rPr>
          <w:rFonts w:cs="Times"/>
          <w:vertAlign w:val="superscript"/>
        </w:rPr>
        <w:t>†</w:t>
      </w:r>
      <w:r w:rsidRPr="00DD08B8">
        <w:t xml:space="preserve"> and Vladimir N. </w:t>
      </w:r>
      <w:proofErr w:type="spellStart"/>
      <w:r w:rsidRPr="00DD08B8">
        <w:t>Uversky</w:t>
      </w:r>
      <w:proofErr w:type="spellEnd"/>
      <w:r w:rsidRPr="0083108C">
        <w:rPr>
          <w:rFonts w:cs="Times"/>
          <w:vertAlign w:val="superscript"/>
        </w:rPr>
        <w:t>†</w:t>
      </w:r>
      <w:proofErr w:type="gramStart"/>
      <w:r w:rsidRPr="00DD08B8">
        <w:rPr>
          <w:vertAlign w:val="superscript"/>
        </w:rPr>
        <w:t>,</w:t>
      </w:r>
      <w:r w:rsidRPr="0083108C">
        <w:rPr>
          <w:vertAlign w:val="superscript"/>
        </w:rPr>
        <w:t>‡</w:t>
      </w:r>
      <w:proofErr w:type="gramEnd"/>
      <w:r w:rsidRPr="00DD08B8">
        <w:rPr>
          <w:vertAlign w:val="superscript"/>
        </w:rPr>
        <w:t>,*</w:t>
      </w:r>
    </w:p>
    <w:p w:rsidR="00F331A8" w:rsidRPr="003A4F4E" w:rsidRDefault="00F331A8" w:rsidP="00F331A8">
      <w:pPr>
        <w:pStyle w:val="BCAuthorAddress"/>
      </w:pPr>
    </w:p>
    <w:p w:rsidR="00F331A8" w:rsidRDefault="00F331A8" w:rsidP="00F331A8">
      <w:pPr>
        <w:pStyle w:val="BCAuthorAddress"/>
      </w:pPr>
      <w:r w:rsidRPr="0083108C">
        <w:rPr>
          <w:rFonts w:cs="Times"/>
          <w:vertAlign w:val="superscript"/>
        </w:rPr>
        <w:t>†</w:t>
      </w:r>
      <w:r w:rsidRPr="00DD08B8">
        <w:t xml:space="preserve">Institute for Biological Instrumentation, Russian Academy of Sciences, 142290 </w:t>
      </w:r>
      <w:proofErr w:type="spellStart"/>
      <w:r w:rsidRPr="00DD08B8">
        <w:t>Pushchino</w:t>
      </w:r>
      <w:proofErr w:type="spellEnd"/>
      <w:r w:rsidRPr="00DD08B8">
        <w:t>, Moscow Region, Russia;</w:t>
      </w:r>
      <w:r>
        <w:t xml:space="preserve"> </w:t>
      </w:r>
      <w:r w:rsidRPr="00DD08B8">
        <w:t xml:space="preserve"> </w:t>
      </w:r>
    </w:p>
    <w:p w:rsidR="00F331A8" w:rsidRDefault="00F331A8" w:rsidP="00F331A8">
      <w:pPr>
        <w:pStyle w:val="BCAuthorAddress"/>
      </w:pPr>
      <w:r w:rsidRPr="0083108C">
        <w:rPr>
          <w:vertAlign w:val="superscript"/>
        </w:rPr>
        <w:t>‡</w:t>
      </w:r>
      <w:r w:rsidRPr="00DD08B8">
        <w:t xml:space="preserve">Department of Molecular Medicine and USF Health Byrd Alzheimer's Research Institute, </w:t>
      </w:r>
      <w:proofErr w:type="spellStart"/>
      <w:r w:rsidRPr="00DD08B8">
        <w:t>Morsani</w:t>
      </w:r>
      <w:proofErr w:type="spellEnd"/>
      <w:r w:rsidRPr="00DD08B8">
        <w:t xml:space="preserve"> College of Medicine, University of South Florida, Tampa, Florida 33612, USA;</w:t>
      </w:r>
      <w:r>
        <w:t xml:space="preserve"> </w:t>
      </w:r>
    </w:p>
    <w:p w:rsidR="00F331A8" w:rsidRDefault="00F331A8" w:rsidP="00F331A8">
      <w:pPr>
        <w:pStyle w:val="BCAuthorAddress"/>
      </w:pPr>
      <w:r w:rsidRPr="00DD08B8">
        <w:rPr>
          <w:vertAlign w:val="superscript"/>
        </w:rPr>
        <w:t xml:space="preserve"> </w:t>
      </w:r>
    </w:p>
    <w:p w:rsidR="00F331A8" w:rsidRDefault="00F331A8" w:rsidP="00F331A8">
      <w:pPr>
        <w:pStyle w:val="BCAuthorAddress"/>
      </w:pPr>
    </w:p>
    <w:p w:rsidR="00F331A8" w:rsidRDefault="00F331A8" w:rsidP="00F331A8">
      <w:pPr>
        <w:pStyle w:val="BCAuthorAddress"/>
        <w:jc w:val="left"/>
      </w:pPr>
      <w:r>
        <w:rPr>
          <w:lang w:val="en-GB"/>
        </w:rPr>
        <w:t>*</w:t>
      </w:r>
      <w:r w:rsidRPr="001D20C3">
        <w:t xml:space="preserve">To whom correspondence should be addressed: </w:t>
      </w:r>
      <w:r w:rsidRPr="00DD08B8">
        <w:rPr>
          <w:lang w:val="en-GB"/>
        </w:rPr>
        <w:t xml:space="preserve">Vladimir N. </w:t>
      </w:r>
      <w:proofErr w:type="spellStart"/>
      <w:r w:rsidRPr="00DD08B8">
        <w:rPr>
          <w:lang w:val="en-GB"/>
        </w:rPr>
        <w:t>Uversky</w:t>
      </w:r>
      <w:proofErr w:type="spellEnd"/>
      <w:r w:rsidRPr="00DD08B8">
        <w:rPr>
          <w:lang w:val="en-GB"/>
        </w:rPr>
        <w:t xml:space="preserve">, Department of Molecular Medicine, College of Medicine, University of South Florida, 12901 Bruce B. Downs Blvd, MDC3540, Tampa, FL 33612, USA; E-mail: </w:t>
      </w:r>
      <w:hyperlink r:id="rId4" w:history="1">
        <w:r w:rsidRPr="00DD08B8">
          <w:rPr>
            <w:rStyle w:val="Hyperlink"/>
            <w:lang w:val="en-GB"/>
          </w:rPr>
          <w:t>vuversky@health.usf.edu</w:t>
        </w:r>
      </w:hyperlink>
    </w:p>
    <w:p w:rsidR="00F331A8" w:rsidRDefault="00F331A8">
      <w:r>
        <w:br w:type="page"/>
      </w:r>
    </w:p>
    <w:p w:rsidR="00F331A8" w:rsidRDefault="00F331A8" w:rsidP="00F331A8">
      <w:r>
        <w:rPr>
          <w:noProof/>
        </w:rPr>
        <w:lastRenderedPageBreak/>
        <w:drawing>
          <wp:inline distT="0" distB="0" distL="0" distR="0">
            <wp:extent cx="5943600" cy="5154295"/>
            <wp:effectExtent l="19050" t="0" r="0" b="0"/>
            <wp:docPr id="2" name="Picture 1" descr="Figur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1A8" w:rsidRDefault="00F331A8" w:rsidP="00F331A8">
      <w:pPr>
        <w:pStyle w:val="VDTableTitle"/>
        <w:spacing w:after="0" w:line="240" w:lineRule="auto"/>
      </w:pPr>
      <w:r w:rsidRPr="00F331A8">
        <w:rPr>
          <w:b/>
        </w:rPr>
        <w:t>Figure S1</w:t>
      </w:r>
      <w:r>
        <w:t xml:space="preserve">. </w:t>
      </w:r>
      <w:proofErr w:type="gramStart"/>
      <w:r w:rsidRPr="00F331A8">
        <w:t xml:space="preserve">Normalized </w:t>
      </w:r>
      <w:r>
        <w:t>intrinsic t</w:t>
      </w:r>
      <w:r w:rsidRPr="002F0544">
        <w:t>ryptophan fluorescence spectra of wild type CaD</w:t>
      </w:r>
      <w:r w:rsidRPr="002F0544">
        <w:rPr>
          <w:vertAlign w:val="subscript"/>
        </w:rPr>
        <w:t>136</w:t>
      </w:r>
      <w:r w:rsidRPr="002F0544">
        <w:t xml:space="preserve"> and its mutants in the free and </w:t>
      </w:r>
      <w:proofErr w:type="spellStart"/>
      <w:r w:rsidRPr="002F0544">
        <w:t>CaM</w:t>
      </w:r>
      <w:proofErr w:type="spellEnd"/>
      <w:r w:rsidRPr="002F0544">
        <w:t>-bound states.</w:t>
      </w:r>
      <w:proofErr w:type="gramEnd"/>
      <w:r>
        <w:t xml:space="preserve"> Proteins are characterized by almost indistinguishable fluorescence in their unbound forms, whereas binding to </w:t>
      </w:r>
      <w:proofErr w:type="spellStart"/>
      <w:r>
        <w:t>CaM</w:t>
      </w:r>
      <w:proofErr w:type="spellEnd"/>
      <w:r>
        <w:t xml:space="preserve"> differently affects intrinsic fluorescence spectra.</w:t>
      </w:r>
    </w:p>
    <w:p w:rsidR="00F331A8" w:rsidRDefault="00F331A8">
      <w:pPr>
        <w:rPr>
          <w:rFonts w:ascii="Times" w:eastAsia="Times New Roman" w:hAnsi="Times" w:cs="Times New Roman"/>
          <w:sz w:val="24"/>
          <w:szCs w:val="20"/>
        </w:rPr>
      </w:pPr>
      <w:r>
        <w:br w:type="page"/>
      </w:r>
    </w:p>
    <w:p w:rsidR="00F331A8" w:rsidRDefault="00F331A8" w:rsidP="00F331A8">
      <w:pPr>
        <w:pStyle w:val="VDTableTitle"/>
        <w:spacing w:after="0" w:line="240" w:lineRule="auto"/>
        <w:jc w:val="center"/>
      </w:pPr>
      <w:r>
        <w:object w:dxaOrig="6728" w:dyaOrig="5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3pt;height:254.7pt" o:ole="">
            <v:imagedata r:id="rId6" o:title=""/>
          </v:shape>
          <o:OLEObject Type="Embed" ProgID="SigmaPlotGraphicObject.10" ShapeID="_x0000_i1025" DrawAspect="Content" ObjectID="_1502263675" r:id="rId7"/>
        </w:object>
      </w:r>
    </w:p>
    <w:p w:rsidR="00F331A8" w:rsidRDefault="00F331A8" w:rsidP="00F331A8">
      <w:pPr>
        <w:pStyle w:val="VDTableTitle"/>
        <w:spacing w:after="0" w:line="240" w:lineRule="auto"/>
        <w:jc w:val="left"/>
        <w:rPr>
          <w:b/>
        </w:rPr>
      </w:pPr>
    </w:p>
    <w:p w:rsidR="00F331A8" w:rsidRPr="002F0544" w:rsidRDefault="00F331A8" w:rsidP="00F331A8">
      <w:pPr>
        <w:pStyle w:val="VDTableTitle"/>
        <w:spacing w:after="0" w:line="240" w:lineRule="auto"/>
        <w:jc w:val="left"/>
        <w:rPr>
          <w:iCs/>
        </w:rPr>
      </w:pPr>
      <w:r w:rsidRPr="002F0544">
        <w:rPr>
          <w:b/>
        </w:rPr>
        <w:t xml:space="preserve">Figure </w:t>
      </w:r>
      <w:r>
        <w:rPr>
          <w:b/>
        </w:rPr>
        <w:t>S2</w:t>
      </w:r>
      <w:r w:rsidRPr="002F0544">
        <w:rPr>
          <w:b/>
        </w:rPr>
        <w:t>.</w:t>
      </w:r>
      <w:r w:rsidRPr="002F0544">
        <w:t xml:space="preserve"> </w:t>
      </w:r>
      <w:r w:rsidRPr="002F0544">
        <w:rPr>
          <w:iCs/>
        </w:rPr>
        <w:t>Difference spectra determined by the subtraction from the far-UV CD spectrum of the wild type CaD</w:t>
      </w:r>
      <w:r w:rsidRPr="002F0544">
        <w:rPr>
          <w:iCs/>
          <w:vertAlign w:val="subscript"/>
        </w:rPr>
        <w:t>136</w:t>
      </w:r>
      <w:r w:rsidRPr="002F0544">
        <w:rPr>
          <w:iCs/>
        </w:rPr>
        <w:t xml:space="preserve"> the far-UV CD spectrum of: W674A (</w:t>
      </w:r>
      <w:r w:rsidRPr="002F0544">
        <w:rPr>
          <w:b/>
          <w:iCs/>
        </w:rPr>
        <w:t>2</w:t>
      </w:r>
      <w:r w:rsidRPr="002F0544">
        <w:rPr>
          <w:iCs/>
        </w:rPr>
        <w:t>), W707A (</w:t>
      </w:r>
      <w:r w:rsidRPr="002F0544">
        <w:rPr>
          <w:b/>
          <w:iCs/>
        </w:rPr>
        <w:t>3</w:t>
      </w:r>
      <w:r w:rsidRPr="002F0544">
        <w:rPr>
          <w:iCs/>
        </w:rPr>
        <w:t>), W737A (</w:t>
      </w:r>
      <w:r w:rsidRPr="002F0544">
        <w:rPr>
          <w:b/>
          <w:iCs/>
        </w:rPr>
        <w:t>4</w:t>
      </w:r>
      <w:r w:rsidRPr="002F0544">
        <w:rPr>
          <w:iCs/>
        </w:rPr>
        <w:t>) and W674A/W707A (</w:t>
      </w:r>
      <w:r w:rsidRPr="002F0544">
        <w:rPr>
          <w:b/>
          <w:iCs/>
        </w:rPr>
        <w:t>5</w:t>
      </w:r>
      <w:r w:rsidRPr="002F0544">
        <w:rPr>
          <w:iCs/>
        </w:rPr>
        <w:t>).</w:t>
      </w:r>
      <w:r>
        <w:t xml:space="preserve"> </w:t>
      </w:r>
      <w:r w:rsidRPr="002F0544">
        <w:rPr>
          <w:iCs/>
        </w:rPr>
        <w:t xml:space="preserve">All measurements were carried out at a protein concentration of 0.6-0.8 mg/ml, cell </w:t>
      </w:r>
      <w:proofErr w:type="spellStart"/>
      <w:r w:rsidRPr="002F0544">
        <w:rPr>
          <w:iCs/>
        </w:rPr>
        <w:t>pathlength</w:t>
      </w:r>
      <w:proofErr w:type="spellEnd"/>
      <w:r w:rsidRPr="002F0544">
        <w:rPr>
          <w:iCs/>
        </w:rPr>
        <w:t xml:space="preserve"> 0.1 mm, 15</w:t>
      </w:r>
      <w:r w:rsidRPr="002F0544">
        <w:rPr>
          <w:iCs/>
          <w:vertAlign w:val="superscript"/>
        </w:rPr>
        <w:t>o</w:t>
      </w:r>
      <w:r w:rsidRPr="002F0544">
        <w:rPr>
          <w:iCs/>
        </w:rPr>
        <w:t>C.</w:t>
      </w:r>
    </w:p>
    <w:p w:rsidR="00F331A8" w:rsidRPr="00A23EF4" w:rsidRDefault="00F331A8" w:rsidP="00F331A8">
      <w:pPr>
        <w:spacing w:after="0"/>
      </w:pPr>
    </w:p>
    <w:p w:rsidR="00F331A8" w:rsidRDefault="00F331A8">
      <w:pPr>
        <w:rPr>
          <w:rFonts w:ascii="Times" w:eastAsia="Times New Roman" w:hAnsi="Times" w:cs="Times New Roman"/>
          <w:b/>
          <w:sz w:val="24"/>
          <w:szCs w:val="20"/>
        </w:rPr>
      </w:pPr>
      <w:r>
        <w:rPr>
          <w:b/>
        </w:rPr>
        <w:br w:type="page"/>
      </w:r>
    </w:p>
    <w:p w:rsidR="00F331A8" w:rsidRDefault="000D1453" w:rsidP="000D1453">
      <w:pPr>
        <w:pStyle w:val="VDTableTitle"/>
        <w:spacing w:after="0" w:line="240" w:lineRule="auto"/>
        <w:jc w:val="center"/>
        <w:rPr>
          <w:b/>
        </w:rPr>
      </w:pPr>
      <w:r>
        <w:object w:dxaOrig="6528" w:dyaOrig="5138">
          <v:shape id="_x0000_i1026" type="#_x0000_t75" style="width:326.3pt;height:256.8pt" o:ole="">
            <v:imagedata r:id="rId8" o:title=""/>
          </v:shape>
          <o:OLEObject Type="Embed" ProgID="SigmaPlotGraphicObject.10" ShapeID="_x0000_i1026" DrawAspect="Content" ObjectID="_1502263676" r:id="rId9"/>
        </w:object>
      </w:r>
    </w:p>
    <w:p w:rsidR="000D1453" w:rsidRDefault="000D1453" w:rsidP="00F331A8">
      <w:pPr>
        <w:pStyle w:val="VDTableTitle"/>
        <w:spacing w:after="0" w:line="240" w:lineRule="auto"/>
        <w:jc w:val="left"/>
        <w:rPr>
          <w:b/>
        </w:rPr>
      </w:pPr>
    </w:p>
    <w:p w:rsidR="000D1453" w:rsidRDefault="00F331A8" w:rsidP="00217E9B">
      <w:pPr>
        <w:pStyle w:val="VDTableTitle"/>
        <w:spacing w:after="0" w:line="240" w:lineRule="auto"/>
        <w:jc w:val="left"/>
        <w:rPr>
          <w:iCs/>
        </w:rPr>
      </w:pPr>
      <w:r w:rsidRPr="002F0544">
        <w:rPr>
          <w:b/>
        </w:rPr>
        <w:t xml:space="preserve">Figure </w:t>
      </w:r>
      <w:r>
        <w:rPr>
          <w:b/>
        </w:rPr>
        <w:t>S3</w:t>
      </w:r>
      <w:r w:rsidRPr="002F0544">
        <w:rPr>
          <w:b/>
        </w:rPr>
        <w:t>.</w:t>
      </w:r>
      <w:r w:rsidRPr="002F0544">
        <w:t xml:space="preserve"> </w:t>
      </w:r>
      <w:r w:rsidRPr="002F0544">
        <w:rPr>
          <w:iCs/>
        </w:rPr>
        <w:t>Difference spectra determined by the subtraction from the near-UV CD spectrum of the CaD</w:t>
      </w:r>
      <w:r w:rsidRPr="002F0544">
        <w:rPr>
          <w:iCs/>
          <w:vertAlign w:val="subscript"/>
        </w:rPr>
        <w:t>136</w:t>
      </w:r>
      <w:r w:rsidRPr="002F0544">
        <w:rPr>
          <w:iCs/>
        </w:rPr>
        <w:t xml:space="preserve"> the near-UV CD spectrum of: W674A (</w:t>
      </w:r>
      <w:r w:rsidRPr="002F0544">
        <w:rPr>
          <w:b/>
          <w:iCs/>
        </w:rPr>
        <w:t>2</w:t>
      </w:r>
      <w:r w:rsidRPr="002F0544">
        <w:rPr>
          <w:iCs/>
        </w:rPr>
        <w:t>), W707A (</w:t>
      </w:r>
      <w:r w:rsidRPr="002F0544">
        <w:rPr>
          <w:b/>
          <w:iCs/>
        </w:rPr>
        <w:t>3</w:t>
      </w:r>
      <w:r w:rsidRPr="002F0544">
        <w:rPr>
          <w:iCs/>
        </w:rPr>
        <w:t>), W737A (</w:t>
      </w:r>
      <w:r w:rsidRPr="002F0544">
        <w:rPr>
          <w:b/>
          <w:iCs/>
        </w:rPr>
        <w:t>4</w:t>
      </w:r>
      <w:r w:rsidRPr="002F0544">
        <w:rPr>
          <w:iCs/>
        </w:rPr>
        <w:t>) and W674A/W707A (</w:t>
      </w:r>
      <w:r w:rsidRPr="002F0544">
        <w:rPr>
          <w:b/>
          <w:iCs/>
        </w:rPr>
        <w:t>5</w:t>
      </w:r>
      <w:r w:rsidRPr="002F0544">
        <w:rPr>
          <w:iCs/>
        </w:rPr>
        <w:t xml:space="preserve">). All measurements were carried out at a protein concentration of 0.6-0.8 mg/ml, cell </w:t>
      </w:r>
      <w:proofErr w:type="spellStart"/>
      <w:r w:rsidRPr="002F0544">
        <w:rPr>
          <w:iCs/>
        </w:rPr>
        <w:t>pathlength</w:t>
      </w:r>
      <w:proofErr w:type="spellEnd"/>
      <w:r w:rsidRPr="002F0544">
        <w:rPr>
          <w:iCs/>
        </w:rPr>
        <w:t xml:space="preserve"> 10 mm, 15</w:t>
      </w:r>
      <w:r w:rsidRPr="002F0544">
        <w:rPr>
          <w:iCs/>
          <w:vertAlign w:val="superscript"/>
        </w:rPr>
        <w:t>o</w:t>
      </w:r>
      <w:r w:rsidRPr="002F0544">
        <w:rPr>
          <w:iCs/>
        </w:rPr>
        <w:t>C.</w:t>
      </w:r>
    </w:p>
    <w:p w:rsidR="00217E9B" w:rsidRDefault="00217E9B">
      <w:r>
        <w:br w:type="page"/>
      </w:r>
    </w:p>
    <w:p w:rsidR="00217E9B" w:rsidRDefault="00217E9B" w:rsidP="00217E9B">
      <w:pPr>
        <w:jc w:val="center"/>
      </w:pPr>
      <w:r w:rsidRPr="00217E9B">
        <w:lastRenderedPageBreak/>
        <w:drawing>
          <wp:inline distT="0" distB="0" distL="0" distR="0">
            <wp:extent cx="5358384" cy="4363212"/>
            <wp:effectExtent l="19050" t="0" r="0" b="0"/>
            <wp:docPr id="5" name="Picture 1" descr="Figure_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Figure_11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384" cy="436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1A8" w:rsidRDefault="00217E9B" w:rsidP="00217E9B">
      <w:pPr>
        <w:pStyle w:val="VDTableTitle"/>
        <w:spacing w:after="0" w:line="240" w:lineRule="auto"/>
        <w:jc w:val="left"/>
      </w:pPr>
      <w:r w:rsidRPr="002F0544">
        <w:rPr>
          <w:b/>
        </w:rPr>
        <w:t xml:space="preserve">Figure </w:t>
      </w:r>
      <w:r>
        <w:rPr>
          <w:b/>
        </w:rPr>
        <w:t>S4</w:t>
      </w:r>
      <w:r w:rsidRPr="002F0544">
        <w:rPr>
          <w:b/>
        </w:rPr>
        <w:t xml:space="preserve">. </w:t>
      </w:r>
      <w:r w:rsidRPr="002F0544">
        <w:t>Calorimetric scans for wild type CaD</w:t>
      </w:r>
      <w:r w:rsidRPr="002F0544">
        <w:rPr>
          <w:vertAlign w:val="subscript"/>
        </w:rPr>
        <w:t>136</w:t>
      </w:r>
      <w:r w:rsidRPr="002F0544">
        <w:t xml:space="preserve"> and its mutants in solution. Experiments were performed in 50 </w:t>
      </w:r>
      <w:proofErr w:type="spellStart"/>
      <w:r w:rsidRPr="002F0544">
        <w:t>mM</w:t>
      </w:r>
      <w:proofErr w:type="spellEnd"/>
      <w:r w:rsidRPr="002F0544">
        <w:t xml:space="preserve"> H</w:t>
      </w:r>
      <w:r w:rsidRPr="002F0544">
        <w:rPr>
          <w:vertAlign w:val="subscript"/>
        </w:rPr>
        <w:t>3</w:t>
      </w:r>
      <w:r w:rsidRPr="002F0544">
        <w:t>BO</w:t>
      </w:r>
      <w:r w:rsidRPr="002F0544">
        <w:rPr>
          <w:vertAlign w:val="subscript"/>
        </w:rPr>
        <w:t>3</w:t>
      </w:r>
      <w:r w:rsidRPr="002F0544">
        <w:t xml:space="preserve"> buffer, pH 8.0. Protein concentrations were 0.97 mg/ml, 1.38 mg/ml, 1.21 mg/ml, 1.56 mg/ml and 1.96 mg/ml for the </w:t>
      </w:r>
      <w:r w:rsidRPr="002F0544">
        <w:rPr>
          <w:iCs/>
        </w:rPr>
        <w:t>wild type (black curve)</w:t>
      </w:r>
      <w:r w:rsidRPr="002F0544">
        <w:t>, W674A (red curve), W707A (green curve), W737A (yellow curve), and W674A/W707A (blue curve), respectively.</w:t>
      </w:r>
    </w:p>
    <w:sectPr w:rsidR="00F331A8" w:rsidSect="003A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331A8"/>
    <w:rsid w:val="00002247"/>
    <w:rsid w:val="000064FC"/>
    <w:rsid w:val="000336BA"/>
    <w:rsid w:val="00065C73"/>
    <w:rsid w:val="00070FD6"/>
    <w:rsid w:val="000714C8"/>
    <w:rsid w:val="00075E6A"/>
    <w:rsid w:val="000767E4"/>
    <w:rsid w:val="00094E99"/>
    <w:rsid w:val="000A637E"/>
    <w:rsid w:val="000B44FA"/>
    <w:rsid w:val="000B6E27"/>
    <w:rsid w:val="000C44B6"/>
    <w:rsid w:val="000D1453"/>
    <w:rsid w:val="000D3EEB"/>
    <w:rsid w:val="000D51D9"/>
    <w:rsid w:val="000E0331"/>
    <w:rsid w:val="000E1192"/>
    <w:rsid w:val="000E2EB2"/>
    <w:rsid w:val="000E59F5"/>
    <w:rsid w:val="000E5E1D"/>
    <w:rsid w:val="00103FB0"/>
    <w:rsid w:val="001177DD"/>
    <w:rsid w:val="0014168F"/>
    <w:rsid w:val="00163F53"/>
    <w:rsid w:val="00187DBA"/>
    <w:rsid w:val="0019193F"/>
    <w:rsid w:val="001B0E20"/>
    <w:rsid w:val="001C0C12"/>
    <w:rsid w:val="001C5E38"/>
    <w:rsid w:val="001C7894"/>
    <w:rsid w:val="001D31CC"/>
    <w:rsid w:val="001F0C45"/>
    <w:rsid w:val="001F1CD1"/>
    <w:rsid w:val="001F3100"/>
    <w:rsid w:val="002042B7"/>
    <w:rsid w:val="00214609"/>
    <w:rsid w:val="00217E9B"/>
    <w:rsid w:val="0022491F"/>
    <w:rsid w:val="002279E4"/>
    <w:rsid w:val="00234BDE"/>
    <w:rsid w:val="00235B95"/>
    <w:rsid w:val="00250DBA"/>
    <w:rsid w:val="002629FF"/>
    <w:rsid w:val="00285C11"/>
    <w:rsid w:val="002867E5"/>
    <w:rsid w:val="002935F8"/>
    <w:rsid w:val="002A46AF"/>
    <w:rsid w:val="002A6AE9"/>
    <w:rsid w:val="002B20CC"/>
    <w:rsid w:val="002B592B"/>
    <w:rsid w:val="002B7A29"/>
    <w:rsid w:val="002C535A"/>
    <w:rsid w:val="002D1276"/>
    <w:rsid w:val="002D2C8B"/>
    <w:rsid w:val="002F3112"/>
    <w:rsid w:val="00335278"/>
    <w:rsid w:val="003415EB"/>
    <w:rsid w:val="00342171"/>
    <w:rsid w:val="00355087"/>
    <w:rsid w:val="00356A75"/>
    <w:rsid w:val="00365C61"/>
    <w:rsid w:val="003740B1"/>
    <w:rsid w:val="00375A48"/>
    <w:rsid w:val="00386CC5"/>
    <w:rsid w:val="00390728"/>
    <w:rsid w:val="003A5CE8"/>
    <w:rsid w:val="003C3ED6"/>
    <w:rsid w:val="003D5A43"/>
    <w:rsid w:val="003E23A6"/>
    <w:rsid w:val="003E55CC"/>
    <w:rsid w:val="003E569C"/>
    <w:rsid w:val="003E756B"/>
    <w:rsid w:val="00404629"/>
    <w:rsid w:val="00411C2C"/>
    <w:rsid w:val="00416942"/>
    <w:rsid w:val="00421743"/>
    <w:rsid w:val="0042272B"/>
    <w:rsid w:val="004239CE"/>
    <w:rsid w:val="004273D6"/>
    <w:rsid w:val="00430E6B"/>
    <w:rsid w:val="004363BB"/>
    <w:rsid w:val="00444CB4"/>
    <w:rsid w:val="00460199"/>
    <w:rsid w:val="0046205D"/>
    <w:rsid w:val="00477035"/>
    <w:rsid w:val="00481562"/>
    <w:rsid w:val="004839AC"/>
    <w:rsid w:val="00492032"/>
    <w:rsid w:val="004948A9"/>
    <w:rsid w:val="004A0501"/>
    <w:rsid w:val="004B1770"/>
    <w:rsid w:val="004D01A6"/>
    <w:rsid w:val="004F0795"/>
    <w:rsid w:val="004F2ADB"/>
    <w:rsid w:val="004F59BF"/>
    <w:rsid w:val="0050384E"/>
    <w:rsid w:val="0051286B"/>
    <w:rsid w:val="00513DD1"/>
    <w:rsid w:val="005202EF"/>
    <w:rsid w:val="00530602"/>
    <w:rsid w:val="00541395"/>
    <w:rsid w:val="005465CA"/>
    <w:rsid w:val="00551E51"/>
    <w:rsid w:val="00563B19"/>
    <w:rsid w:val="00585AA6"/>
    <w:rsid w:val="005873A7"/>
    <w:rsid w:val="00591012"/>
    <w:rsid w:val="00595937"/>
    <w:rsid w:val="005A237E"/>
    <w:rsid w:val="005A4B87"/>
    <w:rsid w:val="005A5400"/>
    <w:rsid w:val="005B363B"/>
    <w:rsid w:val="005C4D56"/>
    <w:rsid w:val="005D277C"/>
    <w:rsid w:val="005E2494"/>
    <w:rsid w:val="005F1A7C"/>
    <w:rsid w:val="00606E6C"/>
    <w:rsid w:val="00615FA9"/>
    <w:rsid w:val="00626A75"/>
    <w:rsid w:val="00633304"/>
    <w:rsid w:val="00635D9A"/>
    <w:rsid w:val="00640744"/>
    <w:rsid w:val="00650111"/>
    <w:rsid w:val="00657C6E"/>
    <w:rsid w:val="00666030"/>
    <w:rsid w:val="00675AE4"/>
    <w:rsid w:val="006828E1"/>
    <w:rsid w:val="00696696"/>
    <w:rsid w:val="006C1A45"/>
    <w:rsid w:val="006D069B"/>
    <w:rsid w:val="006D7489"/>
    <w:rsid w:val="006E14D1"/>
    <w:rsid w:val="006F6497"/>
    <w:rsid w:val="006F7438"/>
    <w:rsid w:val="0070464F"/>
    <w:rsid w:val="0070626C"/>
    <w:rsid w:val="00711694"/>
    <w:rsid w:val="007206E0"/>
    <w:rsid w:val="00732CD7"/>
    <w:rsid w:val="00732EE4"/>
    <w:rsid w:val="00733080"/>
    <w:rsid w:val="00734ED7"/>
    <w:rsid w:val="00737ACB"/>
    <w:rsid w:val="007453CF"/>
    <w:rsid w:val="007652A5"/>
    <w:rsid w:val="00770734"/>
    <w:rsid w:val="00776028"/>
    <w:rsid w:val="00777C1A"/>
    <w:rsid w:val="00777E09"/>
    <w:rsid w:val="00782887"/>
    <w:rsid w:val="00793E53"/>
    <w:rsid w:val="007A5B1C"/>
    <w:rsid w:val="007C44BD"/>
    <w:rsid w:val="007D2931"/>
    <w:rsid w:val="007E1427"/>
    <w:rsid w:val="007E243B"/>
    <w:rsid w:val="007E72AD"/>
    <w:rsid w:val="007F5422"/>
    <w:rsid w:val="00800E3E"/>
    <w:rsid w:val="00830E67"/>
    <w:rsid w:val="00857765"/>
    <w:rsid w:val="00860874"/>
    <w:rsid w:val="00860C94"/>
    <w:rsid w:val="00880D04"/>
    <w:rsid w:val="00886741"/>
    <w:rsid w:val="00890F4E"/>
    <w:rsid w:val="008B10EA"/>
    <w:rsid w:val="008C30C4"/>
    <w:rsid w:val="008C7F29"/>
    <w:rsid w:val="008E6A7A"/>
    <w:rsid w:val="00901F1D"/>
    <w:rsid w:val="00904753"/>
    <w:rsid w:val="00904CE3"/>
    <w:rsid w:val="00924BEB"/>
    <w:rsid w:val="00926276"/>
    <w:rsid w:val="0095015C"/>
    <w:rsid w:val="00950A63"/>
    <w:rsid w:val="00952095"/>
    <w:rsid w:val="00956BE6"/>
    <w:rsid w:val="00977E12"/>
    <w:rsid w:val="009906FB"/>
    <w:rsid w:val="009A130A"/>
    <w:rsid w:val="009C493F"/>
    <w:rsid w:val="009D6155"/>
    <w:rsid w:val="009D634A"/>
    <w:rsid w:val="009E09E1"/>
    <w:rsid w:val="00A2362F"/>
    <w:rsid w:val="00A2791C"/>
    <w:rsid w:val="00A43917"/>
    <w:rsid w:val="00A467A2"/>
    <w:rsid w:val="00A83CEE"/>
    <w:rsid w:val="00A87D44"/>
    <w:rsid w:val="00AB69FE"/>
    <w:rsid w:val="00AD38C9"/>
    <w:rsid w:val="00AD4C0D"/>
    <w:rsid w:val="00AE4D6D"/>
    <w:rsid w:val="00AF2935"/>
    <w:rsid w:val="00AF3CAB"/>
    <w:rsid w:val="00AF587A"/>
    <w:rsid w:val="00AF5D66"/>
    <w:rsid w:val="00AF7B48"/>
    <w:rsid w:val="00B14B87"/>
    <w:rsid w:val="00B26C22"/>
    <w:rsid w:val="00B35836"/>
    <w:rsid w:val="00B45BC8"/>
    <w:rsid w:val="00B50677"/>
    <w:rsid w:val="00B66C96"/>
    <w:rsid w:val="00B765DC"/>
    <w:rsid w:val="00B83AC3"/>
    <w:rsid w:val="00B85985"/>
    <w:rsid w:val="00B90F8A"/>
    <w:rsid w:val="00BB0A62"/>
    <w:rsid w:val="00BE0A0D"/>
    <w:rsid w:val="00BE3E50"/>
    <w:rsid w:val="00BE6B5C"/>
    <w:rsid w:val="00BF281A"/>
    <w:rsid w:val="00BF4F16"/>
    <w:rsid w:val="00BF7AF8"/>
    <w:rsid w:val="00C065DD"/>
    <w:rsid w:val="00C26004"/>
    <w:rsid w:val="00C261FB"/>
    <w:rsid w:val="00C263B4"/>
    <w:rsid w:val="00C50164"/>
    <w:rsid w:val="00C50A0F"/>
    <w:rsid w:val="00C66EF4"/>
    <w:rsid w:val="00CE103E"/>
    <w:rsid w:val="00D21157"/>
    <w:rsid w:val="00D4218D"/>
    <w:rsid w:val="00D55CC7"/>
    <w:rsid w:val="00D64B69"/>
    <w:rsid w:val="00D66A54"/>
    <w:rsid w:val="00D81787"/>
    <w:rsid w:val="00D87083"/>
    <w:rsid w:val="00D92FB1"/>
    <w:rsid w:val="00D96CD0"/>
    <w:rsid w:val="00DA61E7"/>
    <w:rsid w:val="00DA7141"/>
    <w:rsid w:val="00DC0635"/>
    <w:rsid w:val="00DD2803"/>
    <w:rsid w:val="00DD54CF"/>
    <w:rsid w:val="00DD5C59"/>
    <w:rsid w:val="00DE01DA"/>
    <w:rsid w:val="00DE0473"/>
    <w:rsid w:val="00E04955"/>
    <w:rsid w:val="00E219E2"/>
    <w:rsid w:val="00E51632"/>
    <w:rsid w:val="00E5649B"/>
    <w:rsid w:val="00E633C5"/>
    <w:rsid w:val="00E65810"/>
    <w:rsid w:val="00E75A9E"/>
    <w:rsid w:val="00E815AE"/>
    <w:rsid w:val="00E81AF2"/>
    <w:rsid w:val="00E94D10"/>
    <w:rsid w:val="00EF30E3"/>
    <w:rsid w:val="00F057ED"/>
    <w:rsid w:val="00F32E94"/>
    <w:rsid w:val="00F331A8"/>
    <w:rsid w:val="00F37335"/>
    <w:rsid w:val="00F64854"/>
    <w:rsid w:val="00F812D9"/>
    <w:rsid w:val="00F91466"/>
    <w:rsid w:val="00FA5EAA"/>
    <w:rsid w:val="00FB3C5F"/>
    <w:rsid w:val="00FD602A"/>
    <w:rsid w:val="00FD72B8"/>
    <w:rsid w:val="00FF4888"/>
    <w:rsid w:val="00FF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F331A8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paragraph" w:customStyle="1" w:styleId="BBAuthorName">
    <w:name w:val="BB_Author_Name"/>
    <w:basedOn w:val="Normal"/>
    <w:next w:val="BCAuthorAddress"/>
    <w:rsid w:val="00F331A8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</w:rPr>
  </w:style>
  <w:style w:type="paragraph" w:customStyle="1" w:styleId="BCAuthorAddress">
    <w:name w:val="BC_Author_Address"/>
    <w:basedOn w:val="Normal"/>
    <w:next w:val="Normal"/>
    <w:rsid w:val="00F331A8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uiPriority w:val="99"/>
    <w:rsid w:val="00F331A8"/>
    <w:rPr>
      <w:color w:val="0000FF"/>
      <w:u w:val="single"/>
    </w:rPr>
  </w:style>
  <w:style w:type="paragraph" w:customStyle="1" w:styleId="VDTableTitle">
    <w:name w:val="VD_Table_Title"/>
    <w:basedOn w:val="Normal"/>
    <w:next w:val="Normal"/>
    <w:rsid w:val="00F331A8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mailto:vuversky@health.usf.edu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2015-08-28T14:11:00Z</dcterms:created>
  <dcterms:modified xsi:type="dcterms:W3CDTF">2015-08-28T14:41:00Z</dcterms:modified>
</cp:coreProperties>
</file>