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9C" w:rsidRPr="00491B8D" w:rsidRDefault="006A369C" w:rsidP="006A369C">
      <w:pPr>
        <w:pStyle w:val="NoSpacing"/>
        <w:rPr>
          <w:rFonts w:ascii="Times New Roman Bold" w:eastAsia="Times New Roman Bold" w:hAnsi="Times New Roman Bold" w:cs="Times New Roman Bold"/>
          <w:sz w:val="24"/>
          <w:szCs w:val="24"/>
          <w:shd w:val="clear" w:color="auto" w:fill="FEFEFE"/>
        </w:rPr>
      </w:pPr>
      <w:r>
        <w:rPr>
          <w:rFonts w:ascii="Times New Roman Bold"/>
          <w:sz w:val="24"/>
          <w:szCs w:val="24"/>
          <w:shd w:val="clear" w:color="auto" w:fill="FEFEFE"/>
        </w:rPr>
        <w:t>Table 1, Panel A: Estimated prevalence of being a</w:t>
      </w:r>
      <w:r w:rsidRPr="00491B8D">
        <w:rPr>
          <w:rFonts w:ascii="Times New Roman Bold"/>
          <w:sz w:val="24"/>
          <w:szCs w:val="24"/>
          <w:shd w:val="clear" w:color="auto" w:fill="FEFEFE"/>
        </w:rPr>
        <w:t xml:space="preserve"> user</w:t>
      </w:r>
      <w:r>
        <w:rPr>
          <w:rFonts w:ascii="Times New Roman Bold"/>
          <w:sz w:val="24"/>
          <w:szCs w:val="24"/>
          <w:shd w:val="clear" w:color="auto" w:fill="FEFEFE"/>
        </w:rPr>
        <w:t xml:space="preserve"> in the year prior to assessment</w:t>
      </w:r>
      <w:r w:rsidRPr="00491B8D">
        <w:rPr>
          <w:rFonts w:ascii="Times New Roman Bold"/>
          <w:sz w:val="24"/>
          <w:szCs w:val="24"/>
          <w:shd w:val="clear" w:color="auto" w:fill="FEFEFE"/>
        </w:rPr>
        <w:t xml:space="preserve"> (per 100)</w:t>
      </w:r>
    </w:p>
    <w:tbl>
      <w:tblPr>
        <w:tblW w:w="106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539"/>
        <w:gridCol w:w="1539"/>
        <w:gridCol w:w="1775"/>
        <w:gridCol w:w="1910"/>
        <w:gridCol w:w="1890"/>
      </w:tblGrid>
      <w:tr w:rsidR="006A369C" w:rsidRPr="00491B8D" w:rsidTr="00CF612F">
        <w:trPr>
          <w:trHeight w:val="241"/>
        </w:trPr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NoSpacing"/>
              <w:rPr>
                <w:rFonts w:ascii="Times New Roman Bold"/>
                <w:sz w:val="24"/>
                <w:szCs w:val="24"/>
                <w:shd w:val="clear" w:color="auto" w:fill="FEFEFE"/>
              </w:rPr>
            </w:pPr>
            <w:r w:rsidRPr="00491B8D">
              <w:rPr>
                <w:rFonts w:ascii="Times New Roman Bold"/>
                <w:sz w:val="24"/>
                <w:szCs w:val="24"/>
                <w:shd w:val="clear" w:color="auto" w:fill="FEFEFE"/>
              </w:rPr>
              <w:t>Year pair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NoSpacing"/>
              <w:rPr>
                <w:rFonts w:ascii="Times New Roman Bold"/>
                <w:sz w:val="24"/>
                <w:szCs w:val="24"/>
                <w:shd w:val="clear" w:color="auto" w:fill="FEFEFE"/>
              </w:rPr>
            </w:pPr>
            <w:r w:rsidRPr="00491B8D">
              <w:rPr>
                <w:rFonts w:ascii="Times New Roman Bold"/>
                <w:sz w:val="24"/>
                <w:szCs w:val="24"/>
                <w:shd w:val="clear" w:color="auto" w:fill="FEFEFE"/>
              </w:rPr>
              <w:t>12-13 y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NoSpacing"/>
              <w:rPr>
                <w:rFonts w:ascii="Times New Roman Bold"/>
                <w:sz w:val="24"/>
                <w:szCs w:val="24"/>
                <w:shd w:val="clear" w:color="auto" w:fill="FEFEFE"/>
              </w:rPr>
            </w:pPr>
            <w:r w:rsidRPr="00491B8D">
              <w:rPr>
                <w:rFonts w:ascii="Times New Roman Bold"/>
                <w:sz w:val="24"/>
                <w:szCs w:val="24"/>
                <w:shd w:val="clear" w:color="auto" w:fill="FEFEFE"/>
              </w:rPr>
              <w:t>14-15 y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NoSpacing"/>
              <w:rPr>
                <w:rFonts w:ascii="Times New Roman Bold"/>
                <w:sz w:val="24"/>
                <w:szCs w:val="24"/>
                <w:shd w:val="clear" w:color="auto" w:fill="FEFEFE"/>
              </w:rPr>
            </w:pPr>
            <w:r w:rsidRPr="00491B8D">
              <w:rPr>
                <w:rFonts w:ascii="Times New Roman Bold"/>
                <w:sz w:val="24"/>
                <w:szCs w:val="24"/>
                <w:shd w:val="clear" w:color="auto" w:fill="FEFEFE"/>
              </w:rPr>
              <w:t>16-17 y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NoSpacing"/>
              <w:rPr>
                <w:rFonts w:ascii="Times New Roman Bold"/>
                <w:sz w:val="24"/>
                <w:szCs w:val="24"/>
                <w:shd w:val="clear" w:color="auto" w:fill="FEFEFE"/>
              </w:rPr>
            </w:pPr>
            <w:r w:rsidRPr="00491B8D">
              <w:rPr>
                <w:rFonts w:ascii="Times New Roman Bold"/>
                <w:sz w:val="24"/>
                <w:szCs w:val="24"/>
                <w:shd w:val="clear" w:color="auto" w:fill="FEFEFE"/>
              </w:rPr>
              <w:t>18-19 y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NoSpacing"/>
              <w:rPr>
                <w:rFonts w:ascii="Times New Roman Bold"/>
                <w:sz w:val="24"/>
                <w:szCs w:val="24"/>
                <w:shd w:val="clear" w:color="auto" w:fill="FEFEFE"/>
              </w:rPr>
            </w:pPr>
            <w:r w:rsidRPr="00491B8D">
              <w:rPr>
                <w:rFonts w:ascii="Times New Roman Bold"/>
                <w:sz w:val="24"/>
                <w:szCs w:val="24"/>
                <w:shd w:val="clear" w:color="auto" w:fill="FEFEFE"/>
              </w:rPr>
              <w:t>20-21 y</w:t>
            </w:r>
          </w:p>
        </w:tc>
      </w:tr>
      <w:tr w:rsidR="006A369C" w:rsidRPr="00491B8D" w:rsidTr="00CF612F">
        <w:trPr>
          <w:trHeight w:val="241"/>
        </w:trPr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 w:rsidRPr="00491B8D">
              <w:rPr>
                <w:kern w:val="0"/>
                <w:sz w:val="24"/>
                <w:szCs w:val="24"/>
                <w:shd w:val="clear" w:color="auto" w:fill="FEFEFE"/>
              </w:rPr>
              <w:t>2002-2003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 w:rsidRPr="00491B8D">
              <w:rPr>
                <w:kern w:val="0"/>
                <w:sz w:val="24"/>
                <w:szCs w:val="24"/>
                <w:shd w:val="clear" w:color="auto" w:fill="FEFEFE"/>
              </w:rPr>
              <w:t>3</w:t>
            </w:r>
            <w:r>
              <w:rPr>
                <w:kern w:val="0"/>
                <w:sz w:val="24"/>
                <w:szCs w:val="24"/>
                <w:shd w:val="clear" w:color="auto" w:fill="FEFEFE"/>
              </w:rPr>
              <w:t>.2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7A46DE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7.6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9C4910" w:rsidRDefault="006A369C" w:rsidP="00CF612F">
            <w:r w:rsidRPr="009C4910">
              <w:t>12.1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41528" w:rsidRDefault="006A369C" w:rsidP="00CF612F">
            <w:r w:rsidRPr="00441528">
              <w:t>13.3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7245C0" w:rsidRDefault="006A369C" w:rsidP="00CF612F">
            <w:r w:rsidRPr="007245C0">
              <w:t>12.5</w:t>
            </w:r>
          </w:p>
        </w:tc>
      </w:tr>
      <w:tr w:rsidR="006A369C" w:rsidRPr="00491B8D" w:rsidTr="00CF612F">
        <w:trPr>
          <w:trHeight w:val="241"/>
        </w:trPr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 w:rsidRPr="00491B8D">
              <w:rPr>
                <w:kern w:val="0"/>
                <w:sz w:val="24"/>
                <w:szCs w:val="24"/>
                <w:shd w:val="clear" w:color="auto" w:fill="FEFEFE"/>
              </w:rPr>
              <w:t>2004-2005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3.4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7A46DE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6.</w:t>
            </w:r>
            <w:r w:rsidRPr="007A46DE">
              <w:rPr>
                <w:kern w:val="0"/>
                <w:sz w:val="24"/>
                <w:szCs w:val="24"/>
                <w:shd w:val="clear" w:color="auto" w:fill="FEFEFE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9C4910" w:rsidRDefault="006A369C" w:rsidP="00CF612F">
            <w:r w:rsidRPr="009C4910">
              <w:t>11.3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41528" w:rsidRDefault="006A369C" w:rsidP="00CF612F">
            <w:r>
              <w:t>13.8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7245C0" w:rsidRDefault="006A369C" w:rsidP="00CF612F">
            <w:r w:rsidRPr="007245C0">
              <w:t>13.5</w:t>
            </w:r>
          </w:p>
        </w:tc>
      </w:tr>
      <w:tr w:rsidR="006A369C" w:rsidRPr="00491B8D" w:rsidTr="00CF612F">
        <w:trPr>
          <w:trHeight w:val="241"/>
        </w:trPr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 w:rsidRPr="00491B8D">
              <w:rPr>
                <w:kern w:val="0"/>
                <w:sz w:val="24"/>
                <w:szCs w:val="24"/>
                <w:shd w:val="clear" w:color="auto" w:fill="FEFEFE"/>
              </w:rPr>
              <w:t>2006-2007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3.0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7A46DE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6.8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9C4910" w:rsidRDefault="006A369C" w:rsidP="00CF612F">
            <w:r w:rsidRPr="009C4910">
              <w:t>10.7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41528" w:rsidRDefault="006A369C" w:rsidP="00CF612F">
            <w:r w:rsidRPr="00441528">
              <w:t>13.7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7245C0" w:rsidRDefault="006A369C" w:rsidP="00CF612F">
            <w:r w:rsidRPr="007245C0">
              <w:t>13.2</w:t>
            </w:r>
          </w:p>
        </w:tc>
      </w:tr>
      <w:tr w:rsidR="006A369C" w:rsidRPr="00491B8D" w:rsidTr="00CF612F">
        <w:trPr>
          <w:trHeight w:val="241"/>
        </w:trPr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 w:rsidRPr="00491B8D">
              <w:rPr>
                <w:kern w:val="0"/>
                <w:sz w:val="24"/>
                <w:szCs w:val="24"/>
                <w:shd w:val="clear" w:color="auto" w:fill="FEFEFE"/>
              </w:rPr>
              <w:t>2008-2009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2.9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7A46DE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6.4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9C4910" w:rsidRDefault="006A369C" w:rsidP="00CF612F">
            <w:r w:rsidRPr="009C4910">
              <w:t>9.9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41528" w:rsidRDefault="006A369C" w:rsidP="00CF612F">
            <w:r w:rsidRPr="00441528">
              <w:t>12.3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7245C0" w:rsidRDefault="006A369C" w:rsidP="00CF612F">
            <w:r w:rsidRPr="007245C0">
              <w:t>12.6</w:t>
            </w:r>
          </w:p>
        </w:tc>
      </w:tr>
      <w:tr w:rsidR="006A369C" w:rsidRPr="00491B8D" w:rsidTr="00CF612F">
        <w:trPr>
          <w:trHeight w:val="241"/>
        </w:trPr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 w:rsidRPr="00491B8D">
              <w:rPr>
                <w:kern w:val="0"/>
                <w:sz w:val="24"/>
                <w:szCs w:val="24"/>
                <w:shd w:val="clear" w:color="auto" w:fill="FEFEFE"/>
              </w:rPr>
              <w:t>2010-2011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2.9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7A46DE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5.8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9C4910" w:rsidRDefault="006A369C" w:rsidP="00CF612F">
            <w:r w:rsidRPr="009C4910">
              <w:t>9.5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41528" w:rsidRDefault="006A369C" w:rsidP="00CF612F">
            <w:r w:rsidRPr="00441528">
              <w:t>10.7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7245C0" w:rsidRDefault="006A369C" w:rsidP="00CF612F">
            <w:r w:rsidRPr="007245C0">
              <w:t>10.9</w:t>
            </w:r>
          </w:p>
        </w:tc>
      </w:tr>
      <w:tr w:rsidR="006A369C" w:rsidRPr="00491B8D" w:rsidTr="00CF612F">
        <w:trPr>
          <w:trHeight w:val="241"/>
        </w:trPr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2012-2013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2.3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7A46DE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4.8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9C4910" w:rsidRDefault="006A369C" w:rsidP="00CF612F">
            <w:r>
              <w:t>7.6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41528" w:rsidRDefault="006A369C" w:rsidP="00CF612F">
            <w:r>
              <w:t>9.3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7245C0" w:rsidRDefault="006A369C" w:rsidP="00CF612F">
            <w:r>
              <w:t>9.9</w:t>
            </w:r>
          </w:p>
        </w:tc>
      </w:tr>
      <w:tr w:rsidR="006A369C" w:rsidRPr="00491B8D" w:rsidTr="00CF612F">
        <w:trPr>
          <w:trHeight w:val="230"/>
        </w:trPr>
        <w:tc>
          <w:tcPr>
            <w:tcW w:w="106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/>
        </w:tc>
      </w:tr>
      <w:tr w:rsidR="006A369C" w:rsidRPr="00491B8D" w:rsidTr="00CF612F">
        <w:trPr>
          <w:trHeight w:val="241"/>
        </w:trPr>
        <w:tc>
          <w:tcPr>
            <w:tcW w:w="106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2, Panel B: </w:t>
            </w:r>
            <w:r w:rsidRPr="00491B8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95% Confidence </w:t>
            </w:r>
            <w:r w:rsidRPr="0047676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intervals</w:t>
            </w:r>
            <w:r w:rsidRPr="00491B8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for estimates in Panel A (per 100)</w:t>
            </w:r>
          </w:p>
        </w:tc>
      </w:tr>
      <w:tr w:rsidR="006A369C" w:rsidRPr="00491B8D" w:rsidTr="00CF612F">
        <w:trPr>
          <w:trHeight w:val="241"/>
        </w:trPr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NoSpacing"/>
              <w:rPr>
                <w:rFonts w:ascii="Times New Roman Bold"/>
                <w:sz w:val="24"/>
                <w:szCs w:val="24"/>
                <w:shd w:val="clear" w:color="auto" w:fill="FEFEFE"/>
              </w:rPr>
            </w:pPr>
            <w:r w:rsidRPr="00491B8D">
              <w:rPr>
                <w:rFonts w:ascii="Times New Roman Bold"/>
                <w:sz w:val="24"/>
                <w:szCs w:val="24"/>
                <w:shd w:val="clear" w:color="auto" w:fill="FEFEFE"/>
              </w:rPr>
              <w:t>Year pair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NoSpacing"/>
              <w:rPr>
                <w:rFonts w:ascii="Times New Roman Bold"/>
                <w:sz w:val="24"/>
                <w:szCs w:val="24"/>
                <w:shd w:val="clear" w:color="auto" w:fill="FEFEFE"/>
              </w:rPr>
            </w:pPr>
            <w:r w:rsidRPr="00491B8D">
              <w:rPr>
                <w:rFonts w:ascii="Times New Roman Bold"/>
                <w:sz w:val="24"/>
                <w:szCs w:val="24"/>
                <w:shd w:val="clear" w:color="auto" w:fill="FEFEFE"/>
              </w:rPr>
              <w:t>12-13 y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NoSpacing"/>
              <w:rPr>
                <w:rFonts w:ascii="Times New Roman Bold"/>
                <w:sz w:val="24"/>
                <w:szCs w:val="24"/>
                <w:shd w:val="clear" w:color="auto" w:fill="FEFEFE"/>
              </w:rPr>
            </w:pPr>
            <w:r w:rsidRPr="00491B8D">
              <w:rPr>
                <w:rFonts w:ascii="Times New Roman Bold"/>
                <w:sz w:val="24"/>
                <w:szCs w:val="24"/>
                <w:shd w:val="clear" w:color="auto" w:fill="FEFEFE"/>
              </w:rPr>
              <w:t>14-15 y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NoSpacing"/>
              <w:rPr>
                <w:rFonts w:ascii="Times New Roman Bold"/>
                <w:sz w:val="24"/>
                <w:szCs w:val="24"/>
                <w:shd w:val="clear" w:color="auto" w:fill="FEFEFE"/>
              </w:rPr>
            </w:pPr>
            <w:r w:rsidRPr="00491B8D">
              <w:rPr>
                <w:rFonts w:ascii="Times New Roman Bold"/>
                <w:sz w:val="24"/>
                <w:szCs w:val="24"/>
                <w:shd w:val="clear" w:color="auto" w:fill="FEFEFE"/>
              </w:rPr>
              <w:t>16-17 y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NoSpacing"/>
              <w:rPr>
                <w:rFonts w:ascii="Times New Roman Bold"/>
                <w:sz w:val="24"/>
                <w:szCs w:val="24"/>
                <w:shd w:val="clear" w:color="auto" w:fill="FEFEFE"/>
              </w:rPr>
            </w:pPr>
            <w:r w:rsidRPr="00491B8D">
              <w:rPr>
                <w:rFonts w:ascii="Times New Roman Bold"/>
                <w:sz w:val="24"/>
                <w:szCs w:val="24"/>
                <w:shd w:val="clear" w:color="auto" w:fill="FEFEFE"/>
              </w:rPr>
              <w:t>18-19 y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NoSpacing"/>
              <w:rPr>
                <w:rFonts w:ascii="Times New Roman Bold"/>
                <w:sz w:val="24"/>
                <w:szCs w:val="24"/>
                <w:shd w:val="clear" w:color="auto" w:fill="FEFEFE"/>
              </w:rPr>
            </w:pPr>
            <w:r w:rsidRPr="00491B8D">
              <w:rPr>
                <w:rFonts w:ascii="Times New Roman Bold"/>
                <w:sz w:val="24"/>
                <w:szCs w:val="24"/>
                <w:shd w:val="clear" w:color="auto" w:fill="FEFEFE"/>
              </w:rPr>
              <w:t>20-21 y</w:t>
            </w:r>
          </w:p>
        </w:tc>
      </w:tr>
      <w:tr w:rsidR="006A369C" w:rsidRPr="00491B8D" w:rsidTr="00CF612F">
        <w:trPr>
          <w:trHeight w:val="241"/>
        </w:trPr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 w:rsidRPr="00491B8D">
              <w:rPr>
                <w:kern w:val="0"/>
                <w:sz w:val="24"/>
                <w:szCs w:val="24"/>
                <w:shd w:val="clear" w:color="auto" w:fill="FEFEFE"/>
              </w:rPr>
              <w:t>2002-2003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2.9, 3</w:t>
            </w:r>
            <w:r w:rsidRPr="00491B8D">
              <w:rPr>
                <w:kern w:val="0"/>
                <w:sz w:val="24"/>
                <w:szCs w:val="24"/>
                <w:shd w:val="clear" w:color="auto" w:fill="FEFEFE"/>
              </w:rPr>
              <w:t>.5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7.0, 8.2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11.5, 12.8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12.6, 14.1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11.7, 13.3</w:t>
            </w:r>
          </w:p>
        </w:tc>
      </w:tr>
      <w:tr w:rsidR="006A369C" w:rsidRPr="00491B8D" w:rsidTr="00CF612F">
        <w:trPr>
          <w:trHeight w:val="241"/>
        </w:trPr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 w:rsidRPr="00491B8D">
              <w:rPr>
                <w:kern w:val="0"/>
                <w:sz w:val="24"/>
                <w:szCs w:val="24"/>
                <w:shd w:val="clear" w:color="auto" w:fill="FEFEFE"/>
              </w:rPr>
              <w:t>2004-2005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3.0, 3.9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6.2, 7.2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10.6, 12.0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13.0, 14.6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12.6, 14.4</w:t>
            </w:r>
          </w:p>
        </w:tc>
      </w:tr>
      <w:tr w:rsidR="006A369C" w:rsidRPr="00491B8D" w:rsidTr="00CF612F">
        <w:trPr>
          <w:trHeight w:val="241"/>
        </w:trPr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 w:rsidRPr="00491B8D">
              <w:rPr>
                <w:kern w:val="0"/>
                <w:sz w:val="24"/>
                <w:szCs w:val="24"/>
                <w:shd w:val="clear" w:color="auto" w:fill="FEFEFE"/>
              </w:rPr>
              <w:t>2006-2007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2.6, 3.4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6.3, 7.3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10.1, 11.3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12.9, 14.6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12.3, 14.1</w:t>
            </w:r>
          </w:p>
        </w:tc>
      </w:tr>
      <w:tr w:rsidR="006A369C" w:rsidRPr="00491B8D" w:rsidTr="00CF612F">
        <w:trPr>
          <w:trHeight w:val="241"/>
        </w:trPr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 w:rsidRPr="00491B8D">
              <w:rPr>
                <w:kern w:val="0"/>
                <w:sz w:val="24"/>
                <w:szCs w:val="24"/>
                <w:shd w:val="clear" w:color="auto" w:fill="FEFEFE"/>
              </w:rPr>
              <w:t>2008-2009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2.5, 3.3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5.9, 6.9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9.3, 10.6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11.5, 13.1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11.8, 13.6</w:t>
            </w:r>
          </w:p>
        </w:tc>
      </w:tr>
      <w:tr w:rsidR="006A369C" w:rsidRPr="00491B8D" w:rsidTr="00CF612F">
        <w:trPr>
          <w:trHeight w:val="241"/>
        </w:trPr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 w:rsidRPr="00491B8D">
              <w:rPr>
                <w:kern w:val="0"/>
                <w:sz w:val="24"/>
                <w:szCs w:val="24"/>
                <w:shd w:val="clear" w:color="auto" w:fill="FEFEFE"/>
              </w:rPr>
              <w:t>2010-2011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2.6, 3.3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5.3, 6.4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8.9, 10.1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10.0, 11.5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10.2, 11.8</w:t>
            </w:r>
          </w:p>
        </w:tc>
      </w:tr>
      <w:tr w:rsidR="006A369C" w:rsidRPr="00491B8D" w:rsidTr="00CF612F">
        <w:trPr>
          <w:trHeight w:val="241"/>
        </w:trPr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2012-2013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2.0, 2.7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4.4, 5.3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7.1, 8.2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8.6, 10.1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69C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9.1, 10.8</w:t>
            </w:r>
          </w:p>
        </w:tc>
      </w:tr>
      <w:tr w:rsidR="006A369C" w:rsidRPr="00491B8D" w:rsidTr="00CF612F">
        <w:trPr>
          <w:trHeight w:val="240"/>
        </w:trPr>
        <w:tc>
          <w:tcPr>
            <w:tcW w:w="10682" w:type="dxa"/>
            <w:gridSpan w:val="6"/>
            <w:tcBorders>
              <w:top w:val="single" w:sz="4" w:space="0" w:color="000000"/>
              <w:left w:val="nil"/>
              <w:bottom w:val="single" w:sz="12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/>
        </w:tc>
      </w:tr>
      <w:tr w:rsidR="006A369C" w:rsidRPr="00491B8D" w:rsidTr="00CF612F">
        <w:trPr>
          <w:trHeight w:val="968"/>
        </w:trPr>
        <w:tc>
          <w:tcPr>
            <w:tcW w:w="2029" w:type="dxa"/>
            <w:tcBorders>
              <w:top w:val="single" w:sz="12" w:space="0" w:color="515151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 w:rsidRPr="00491B8D">
              <w:rPr>
                <w:kern w:val="0"/>
                <w:sz w:val="24"/>
                <w:szCs w:val="24"/>
                <w:shd w:val="clear" w:color="auto" w:fill="FEFEFE"/>
              </w:rPr>
              <w:t xml:space="preserve">Meta-analysis summary estimates &amp; 95% confidence </w:t>
            </w:r>
            <w:r w:rsidRPr="0047676C">
              <w:rPr>
                <w:kern w:val="0"/>
                <w:sz w:val="24"/>
                <w:szCs w:val="24"/>
                <w:shd w:val="clear" w:color="auto" w:fill="FEFEFE"/>
              </w:rPr>
              <w:t>intervals</w:t>
            </w:r>
            <w:r w:rsidRPr="00491B8D">
              <w:rPr>
                <w:kern w:val="0"/>
                <w:sz w:val="24"/>
                <w:szCs w:val="24"/>
                <w:shd w:val="clear" w:color="auto" w:fill="FEFEFE"/>
              </w:rPr>
              <w:t xml:space="preserve"> (per 100)</w:t>
            </w:r>
            <w:r>
              <w:rPr>
                <w:kern w:val="0"/>
                <w:sz w:val="24"/>
                <w:szCs w:val="24"/>
                <w:shd w:val="clear" w:color="auto" w:fill="FEFEFE"/>
                <w:vertAlign w:val="superscript"/>
              </w:rPr>
              <w:t>a</w:t>
            </w:r>
          </w:p>
        </w:tc>
        <w:tc>
          <w:tcPr>
            <w:tcW w:w="1539" w:type="dxa"/>
            <w:tcBorders>
              <w:top w:val="single" w:sz="12" w:space="0" w:color="515151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</w:p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</w:p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3.7 (3.0, 3.3</w:t>
            </w:r>
            <w:r w:rsidRPr="00491B8D">
              <w:rPr>
                <w:kern w:val="0"/>
                <w:sz w:val="24"/>
                <w:szCs w:val="24"/>
                <w:shd w:val="clear" w:color="auto" w:fill="FEFEFE"/>
              </w:rPr>
              <w:t>)</w:t>
            </w:r>
            <w:r>
              <w:rPr>
                <w:rFonts w:hAnsi="Times New Roman"/>
                <w:kern w:val="0"/>
                <w:sz w:val="24"/>
                <w:szCs w:val="24"/>
                <w:shd w:val="clear" w:color="auto" w:fill="FEFEFE"/>
                <w:vertAlign w:val="superscript"/>
              </w:rPr>
              <w:t>b</w:t>
            </w:r>
          </w:p>
        </w:tc>
        <w:tc>
          <w:tcPr>
            <w:tcW w:w="1539" w:type="dxa"/>
            <w:tcBorders>
              <w:top w:val="single" w:sz="12" w:space="0" w:color="515151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</w:p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</w:p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6.8 (6.1, 7.6</w:t>
            </w:r>
            <w:r w:rsidRPr="00491B8D">
              <w:rPr>
                <w:kern w:val="0"/>
                <w:sz w:val="24"/>
                <w:szCs w:val="24"/>
                <w:shd w:val="clear" w:color="auto" w:fill="FEFEFE"/>
              </w:rPr>
              <w:t>)</w:t>
            </w:r>
            <w:r>
              <w:rPr>
                <w:rFonts w:hAnsi="Times New Roman"/>
                <w:kern w:val="0"/>
                <w:sz w:val="24"/>
                <w:szCs w:val="24"/>
                <w:shd w:val="clear" w:color="auto" w:fill="FEFEFE"/>
                <w:vertAlign w:val="superscript"/>
              </w:rPr>
              <w:t>b</w:t>
            </w:r>
          </w:p>
        </w:tc>
        <w:tc>
          <w:tcPr>
            <w:tcW w:w="1775" w:type="dxa"/>
            <w:tcBorders>
              <w:top w:val="single" w:sz="12" w:space="0" w:color="515151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</w:p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</w:p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10.8 (9.6, 12.1</w:t>
            </w:r>
            <w:r w:rsidRPr="00491B8D">
              <w:rPr>
                <w:kern w:val="0"/>
                <w:sz w:val="24"/>
                <w:szCs w:val="24"/>
                <w:shd w:val="clear" w:color="auto" w:fill="FEFEFE"/>
              </w:rPr>
              <w:t>)</w:t>
            </w:r>
            <w:r>
              <w:rPr>
                <w:rFonts w:hAnsi="Times New Roman"/>
                <w:kern w:val="0"/>
                <w:sz w:val="24"/>
                <w:szCs w:val="24"/>
                <w:shd w:val="clear" w:color="auto" w:fill="FEFEFE"/>
                <w:vertAlign w:val="superscript"/>
              </w:rPr>
              <w:t xml:space="preserve"> b</w:t>
            </w:r>
          </w:p>
        </w:tc>
        <w:tc>
          <w:tcPr>
            <w:tcW w:w="1910" w:type="dxa"/>
            <w:tcBorders>
              <w:top w:val="single" w:sz="12" w:space="0" w:color="515151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</w:p>
          <w:p w:rsidR="006A369C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</w:p>
          <w:p w:rsidR="006A369C" w:rsidRPr="003C0876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 w:rsidRPr="003C0876">
              <w:rPr>
                <w:kern w:val="0"/>
                <w:sz w:val="24"/>
                <w:szCs w:val="24"/>
                <w:shd w:val="clear" w:color="auto" w:fill="FEFEFE"/>
              </w:rPr>
              <w:t>13.1 (12.1, 14.2)</w:t>
            </w:r>
            <w:r w:rsidRPr="003C0876">
              <w:rPr>
                <w:rFonts w:hAnsi="Times New Roman"/>
                <w:kern w:val="0"/>
                <w:sz w:val="24"/>
                <w:szCs w:val="24"/>
                <w:shd w:val="clear" w:color="auto" w:fill="FEFEFE"/>
                <w:vertAlign w:val="superscript"/>
              </w:rPr>
              <w:t xml:space="preserve"> b</w:t>
            </w:r>
          </w:p>
        </w:tc>
        <w:tc>
          <w:tcPr>
            <w:tcW w:w="1890" w:type="dxa"/>
            <w:tcBorders>
              <w:top w:val="single" w:sz="12" w:space="0" w:color="515151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</w:p>
          <w:p w:rsidR="006A369C" w:rsidRPr="00491B8D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</w:p>
          <w:p w:rsidR="006A369C" w:rsidRPr="003C0876" w:rsidRDefault="006A369C" w:rsidP="00CF612F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 w:rsidRPr="003C0876">
              <w:rPr>
                <w:kern w:val="0"/>
                <w:sz w:val="24"/>
                <w:szCs w:val="24"/>
                <w:shd w:val="clear" w:color="auto" w:fill="FEFEFE"/>
              </w:rPr>
              <w:t>13.0 (11.9, 14.1)</w:t>
            </w:r>
            <w:r w:rsidRPr="003C0876">
              <w:rPr>
                <w:rFonts w:hAnsi="Times New Roman"/>
                <w:kern w:val="0"/>
                <w:sz w:val="24"/>
                <w:szCs w:val="24"/>
                <w:shd w:val="clear" w:color="auto" w:fill="FEFEFE"/>
                <w:vertAlign w:val="superscript"/>
              </w:rPr>
              <w:t xml:space="preserve"> b</w:t>
            </w:r>
          </w:p>
        </w:tc>
      </w:tr>
    </w:tbl>
    <w:p w:rsidR="006A369C" w:rsidRPr="00491B8D" w:rsidRDefault="006A369C" w:rsidP="006A369C">
      <w:pPr>
        <w:pStyle w:val="Body"/>
        <w:rPr>
          <w:sz w:val="24"/>
          <w:szCs w:val="24"/>
          <w:shd w:val="clear" w:color="auto" w:fill="FEFEFE"/>
        </w:rPr>
      </w:pPr>
    </w:p>
    <w:p w:rsidR="006A369C" w:rsidRPr="00491B8D" w:rsidRDefault="006A369C" w:rsidP="006A369C">
      <w:pPr>
        <w:pStyle w:val="Body"/>
        <w:rPr>
          <w:sz w:val="24"/>
          <w:szCs w:val="24"/>
          <w:shd w:val="clear" w:color="auto" w:fill="FEFEFE"/>
        </w:rPr>
      </w:pPr>
      <w:r w:rsidRPr="00491B8D">
        <w:rPr>
          <w:sz w:val="24"/>
          <w:szCs w:val="24"/>
          <w:shd w:val="clear" w:color="auto" w:fill="FEFEFE"/>
          <w:vertAlign w:val="superscript"/>
        </w:rPr>
        <w:t xml:space="preserve">a </w:t>
      </w:r>
      <w:r>
        <w:rPr>
          <w:sz w:val="24"/>
          <w:szCs w:val="24"/>
          <w:shd w:val="clear" w:color="auto" w:fill="FEFEFE"/>
        </w:rPr>
        <w:t>Supplement S</w:t>
      </w:r>
      <w:r w:rsidR="00B67661">
        <w:rPr>
          <w:sz w:val="24"/>
          <w:szCs w:val="24"/>
          <w:shd w:val="clear" w:color="auto" w:fill="FEFEFE"/>
        </w:rPr>
        <w:t>4</w:t>
      </w:r>
      <w:bookmarkStart w:id="0" w:name="_GoBack"/>
      <w:bookmarkEnd w:id="0"/>
      <w:r>
        <w:rPr>
          <w:sz w:val="24"/>
          <w:szCs w:val="24"/>
          <w:shd w:val="clear" w:color="auto" w:fill="FEFEFE"/>
        </w:rPr>
        <w:t xml:space="preserve"> </w:t>
      </w:r>
      <w:r w:rsidRPr="00491B8D">
        <w:rPr>
          <w:sz w:val="24"/>
          <w:szCs w:val="24"/>
          <w:shd w:val="clear" w:color="auto" w:fill="FEFEFE"/>
        </w:rPr>
        <w:t>provides additional information about I-</w:t>
      </w:r>
      <w:r>
        <w:rPr>
          <w:sz w:val="24"/>
          <w:szCs w:val="24"/>
          <w:shd w:val="clear" w:color="auto" w:fill="FEFEFE"/>
        </w:rPr>
        <w:t>squared.</w:t>
      </w:r>
    </w:p>
    <w:p w:rsidR="006A369C" w:rsidRPr="00491B8D" w:rsidRDefault="006A369C" w:rsidP="006A369C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proofErr w:type="gramStart"/>
      <w:r w:rsidRPr="00491B8D">
        <w:rPr>
          <w:rFonts w:ascii="Times New Roman"/>
          <w:kern w:val="24"/>
          <w:sz w:val="24"/>
          <w:szCs w:val="24"/>
          <w:shd w:val="clear" w:color="auto" w:fill="FEFEFE"/>
          <w:vertAlign w:val="superscript"/>
        </w:rPr>
        <w:t>b</w:t>
      </w:r>
      <w:proofErr w:type="gramEnd"/>
      <w:r w:rsidRPr="00491B8D">
        <w:rPr>
          <w:rFonts w:ascii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/>
          <w:sz w:val="24"/>
          <w:szCs w:val="24"/>
          <w:shd w:val="clear" w:color="auto" w:fill="FEFEFE"/>
        </w:rPr>
        <w:t xml:space="preserve">I-squared statistic (p &lt;0.05); these are the 'random </w:t>
      </w:r>
      <w:r w:rsidRPr="002536B4">
        <w:rPr>
          <w:rFonts w:ascii="Times New Roman" w:hAnsi="Times New Roman" w:cs="Times New Roman"/>
          <w:sz w:val="24"/>
          <w:szCs w:val="24"/>
          <w:shd w:val="clear" w:color="auto" w:fill="FEFEFE"/>
        </w:rPr>
        <w:t>effect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s</w:t>
      </w:r>
      <w:r w:rsidRPr="002536B4">
        <w:rPr>
          <w:rFonts w:ascii="Times New Roman" w:hAnsi="Times New Roman" w:cs="Times New Roman"/>
          <w:sz w:val="24"/>
          <w:szCs w:val="24"/>
          <w:shd w:val="clear" w:color="auto" w:fill="FEFEFE"/>
        </w:rPr>
        <w:t>' 95%</w:t>
      </w:r>
      <w:r>
        <w:rPr>
          <w:sz w:val="24"/>
          <w:szCs w:val="24"/>
          <w:shd w:val="clear" w:color="auto" w:fill="FEFEFE"/>
        </w:rPr>
        <w:t xml:space="preserve"> </w:t>
      </w:r>
      <w:r w:rsidRPr="00491B8D">
        <w:rPr>
          <w:rFonts w:ascii="Times New Roman"/>
          <w:sz w:val="24"/>
          <w:szCs w:val="24"/>
          <w:shd w:val="clear" w:color="auto" w:fill="FEFEFE"/>
        </w:rPr>
        <w:t xml:space="preserve">confidence </w:t>
      </w:r>
      <w:r w:rsidRPr="0047676C">
        <w:rPr>
          <w:rFonts w:ascii="Times New Roman"/>
          <w:sz w:val="24"/>
          <w:szCs w:val="24"/>
          <w:shd w:val="clear" w:color="auto" w:fill="FEFEFE"/>
        </w:rPr>
        <w:t>intervals</w:t>
      </w:r>
      <w:r>
        <w:rPr>
          <w:rFonts w:ascii="Times New Roman"/>
          <w:sz w:val="24"/>
          <w:szCs w:val="24"/>
          <w:shd w:val="clear" w:color="auto" w:fill="FEFEFE"/>
        </w:rPr>
        <w:t>.</w:t>
      </w:r>
    </w:p>
    <w:p w:rsidR="006A369C" w:rsidRPr="00E46AA8" w:rsidRDefault="006A369C" w:rsidP="006A369C">
      <w:pPr>
        <w:pStyle w:val="Body"/>
        <w:spacing w:line="480" w:lineRule="auto"/>
        <w:rPr>
          <w:sz w:val="24"/>
          <w:szCs w:val="24"/>
          <w:shd w:val="clear" w:color="auto" w:fill="FEFEFE"/>
        </w:rPr>
      </w:pPr>
      <w:proofErr w:type="gramStart"/>
      <w:r w:rsidRPr="00491B8D">
        <w:rPr>
          <w:sz w:val="24"/>
          <w:szCs w:val="24"/>
          <w:shd w:val="clear" w:color="auto" w:fill="FEFEFE"/>
          <w:vertAlign w:val="superscript"/>
        </w:rPr>
        <w:t>c</w:t>
      </w:r>
      <w:proofErr w:type="gramEnd"/>
      <w:r w:rsidRPr="00491B8D">
        <w:rPr>
          <w:sz w:val="24"/>
          <w:szCs w:val="24"/>
          <w:shd w:val="clear" w:color="auto" w:fill="FEFEFE"/>
        </w:rPr>
        <w:t xml:space="preserve"> </w:t>
      </w:r>
      <w:r>
        <w:rPr>
          <w:sz w:val="24"/>
          <w:szCs w:val="24"/>
          <w:shd w:val="clear" w:color="auto" w:fill="FEFEFE"/>
        </w:rPr>
        <w:t xml:space="preserve">I-squared statistic (0.05 &gt; p &gt; 0.15); the 'random </w:t>
      </w:r>
      <w:r w:rsidRPr="002536B4">
        <w:rPr>
          <w:rFonts w:hAnsi="Times New Roman" w:cs="Times New Roman"/>
          <w:sz w:val="24"/>
          <w:szCs w:val="24"/>
          <w:shd w:val="clear" w:color="auto" w:fill="FEFEFE"/>
        </w:rPr>
        <w:t>effect</w:t>
      </w:r>
      <w:r>
        <w:rPr>
          <w:rFonts w:hAnsi="Times New Roman" w:cs="Times New Roman"/>
          <w:sz w:val="24"/>
          <w:szCs w:val="24"/>
          <w:shd w:val="clear" w:color="auto" w:fill="FEFEFE"/>
        </w:rPr>
        <w:t>s</w:t>
      </w:r>
      <w:r w:rsidRPr="002536B4">
        <w:rPr>
          <w:rFonts w:hAnsi="Times New Roman" w:cs="Times New Roman"/>
          <w:sz w:val="24"/>
          <w:szCs w:val="24"/>
          <w:shd w:val="clear" w:color="auto" w:fill="FEFEFE"/>
        </w:rPr>
        <w:t>' 95%</w:t>
      </w:r>
      <w:r>
        <w:rPr>
          <w:sz w:val="24"/>
          <w:szCs w:val="24"/>
          <w:shd w:val="clear" w:color="auto" w:fill="FEFEFE"/>
        </w:rPr>
        <w:t xml:space="preserve"> </w:t>
      </w:r>
      <w:r w:rsidRPr="00491B8D">
        <w:rPr>
          <w:sz w:val="24"/>
          <w:szCs w:val="24"/>
          <w:shd w:val="clear" w:color="auto" w:fill="FEFEFE"/>
        </w:rPr>
        <w:t xml:space="preserve">confidence </w:t>
      </w:r>
      <w:r w:rsidRPr="0047676C">
        <w:rPr>
          <w:sz w:val="24"/>
          <w:szCs w:val="24"/>
          <w:shd w:val="clear" w:color="auto" w:fill="FEFEFE"/>
        </w:rPr>
        <w:t>intervals</w:t>
      </w:r>
      <w:r>
        <w:rPr>
          <w:sz w:val="24"/>
          <w:szCs w:val="24"/>
          <w:shd w:val="clear" w:color="auto" w:fill="FEFEFE"/>
        </w:rPr>
        <w:t xml:space="preserve"> = (3.0, 3.6).</w:t>
      </w:r>
    </w:p>
    <w:p w:rsidR="00A60BBF" w:rsidRPr="006A369C" w:rsidRDefault="00A60BBF" w:rsidP="006A369C"/>
    <w:sectPr w:rsidR="00A60BBF" w:rsidRPr="006A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43"/>
    <w:rsid w:val="0047676C"/>
    <w:rsid w:val="006A369C"/>
    <w:rsid w:val="00706D0E"/>
    <w:rsid w:val="00A60BBF"/>
    <w:rsid w:val="00B67661"/>
    <w:rsid w:val="00F7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739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24"/>
      <w:u w:color="000000"/>
      <w:bdr w:val="nil"/>
      <w:shd w:val="clear" w:color="auto" w:fill="FFFF00"/>
    </w:rPr>
  </w:style>
  <w:style w:type="paragraph" w:styleId="NoSpacing">
    <w:name w:val="No Spacing"/>
    <w:rsid w:val="00F739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739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24"/>
      <w:u w:color="000000"/>
      <w:bdr w:val="nil"/>
      <w:shd w:val="clear" w:color="auto" w:fill="FFFF00"/>
    </w:rPr>
  </w:style>
  <w:style w:type="paragraph" w:styleId="NoSpacing">
    <w:name w:val="No Spacing"/>
    <w:rsid w:val="00F739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1085</Characters>
  <Application>Microsoft Office Word</Application>
  <DocSecurity>0</DocSecurity>
  <Lines>31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Parker</dc:creator>
  <cp:lastModifiedBy>Maria Parker</cp:lastModifiedBy>
  <cp:revision>5</cp:revision>
  <dcterms:created xsi:type="dcterms:W3CDTF">2015-07-01T18:30:00Z</dcterms:created>
  <dcterms:modified xsi:type="dcterms:W3CDTF">2015-09-21T15:38:00Z</dcterms:modified>
</cp:coreProperties>
</file>