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1C" w:rsidRPr="003D682A" w:rsidRDefault="00C91A1C" w:rsidP="00C91A1C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3D682A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S1</w:t>
      </w:r>
      <w:bookmarkStart w:id="0" w:name="_GoBack"/>
      <w:bookmarkEnd w:id="0"/>
      <w:r w:rsidRPr="003D682A">
        <w:rPr>
          <w:rFonts w:ascii="Times New Roman" w:hAnsi="Times New Roman"/>
          <w:b/>
          <w:sz w:val="24"/>
          <w:szCs w:val="24"/>
        </w:rPr>
        <w:t>.</w:t>
      </w:r>
      <w:r w:rsidRPr="003D682A">
        <w:rPr>
          <w:rFonts w:ascii="Times New Roman" w:hAnsi="Times New Roman"/>
          <w:sz w:val="24"/>
          <w:szCs w:val="24"/>
        </w:rPr>
        <w:t xml:space="preserve">  Input for prior distributions in the hierarchical Bayesian coalescent model MSVAR v1.3 (</w:t>
      </w:r>
      <w:proofErr w:type="spellStart"/>
      <w:r w:rsidRPr="003D682A">
        <w:rPr>
          <w:rFonts w:ascii="Times New Roman" w:hAnsi="Times New Roman"/>
          <w:sz w:val="24"/>
          <w:szCs w:val="24"/>
        </w:rPr>
        <w:t>Storz</w:t>
      </w:r>
      <w:proofErr w:type="spellEnd"/>
      <w:r>
        <w:rPr>
          <w:rFonts w:ascii="Times New Roman" w:hAnsi="Times New Roman"/>
          <w:sz w:val="24"/>
          <w:szCs w:val="24"/>
        </w:rPr>
        <w:t xml:space="preserve"> &amp;</w:t>
      </w:r>
      <w:r w:rsidRPr="003D682A">
        <w:rPr>
          <w:rFonts w:ascii="Times New Roman" w:hAnsi="Times New Roman"/>
          <w:sz w:val="24"/>
          <w:szCs w:val="24"/>
        </w:rPr>
        <w:t xml:space="preserve"> Beaumont</w:t>
      </w:r>
      <w:r>
        <w:rPr>
          <w:rFonts w:ascii="Times New Roman" w:hAnsi="Times New Roman"/>
          <w:sz w:val="24"/>
          <w:szCs w:val="24"/>
        </w:rPr>
        <w:t>,</w:t>
      </w:r>
      <w:r w:rsidRPr="003D682A">
        <w:rPr>
          <w:rFonts w:ascii="Times New Roman" w:hAnsi="Times New Roman"/>
          <w:sz w:val="24"/>
          <w:szCs w:val="24"/>
        </w:rPr>
        <w:t xml:space="preserve"> 2002). Five chains were run for this set of parameters (see</w:t>
      </w:r>
      <w:r>
        <w:rPr>
          <w:rFonts w:ascii="Times New Roman" w:hAnsi="Times New Roman"/>
          <w:sz w:val="24"/>
          <w:szCs w:val="24"/>
        </w:rPr>
        <w:t xml:space="preserve"> main</w:t>
      </w:r>
      <w:r w:rsidRPr="003D682A">
        <w:rPr>
          <w:rFonts w:ascii="Times New Roman" w:hAnsi="Times New Roman"/>
          <w:sz w:val="24"/>
          <w:szCs w:val="24"/>
        </w:rPr>
        <w:t xml:space="preserve"> text for more detail). With the exception of mutation rate, broad priors were used for the parameters to test whether the model could detect population changes from the data. </w:t>
      </w:r>
    </w:p>
    <w:tbl>
      <w:tblPr>
        <w:tblW w:w="4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482"/>
        <w:gridCol w:w="2128"/>
      </w:tblGrid>
      <w:tr w:rsidR="00C91A1C" w:rsidRPr="003D682A" w:rsidTr="00400F7B">
        <w:trPr>
          <w:trHeight w:val="251"/>
        </w:trPr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  <w:b/>
              </w:rPr>
            </w:pPr>
            <w:r w:rsidRPr="003D682A">
              <w:rPr>
                <w:rFonts w:ascii="Times New Roman" w:hAnsi="Times New Roman"/>
                <w:b/>
              </w:rPr>
              <w:t>Parameters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  <w:b/>
                <w:iCs/>
              </w:rPr>
            </w:pPr>
            <w:r w:rsidRPr="003D682A">
              <w:rPr>
                <w:rFonts w:ascii="Times New Roman" w:hAnsi="Times New Roman"/>
                <w:b/>
                <w:iCs/>
              </w:rPr>
              <w:t>Input</w:t>
            </w:r>
          </w:p>
        </w:tc>
      </w:tr>
      <w:tr w:rsidR="00C91A1C" w:rsidRPr="003D682A" w:rsidTr="00400F7B">
        <w:trPr>
          <w:trHeight w:val="255"/>
        </w:trPr>
        <w:tc>
          <w:tcPr>
            <w:tcW w:w="410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Historical</w:t>
            </w:r>
            <w:r w:rsidRPr="003D682A">
              <w:rPr>
                <w:rFonts w:ascii="Times New Roman" w:hAnsi="Times New Roman"/>
              </w:rPr>
              <w:t xml:space="preserve"> Size (N1)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M</w:t>
            </w:r>
            <w:r w:rsidRPr="003D682A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5.08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V</w:t>
            </w:r>
            <w:r w:rsidRPr="003D682A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1</w:t>
            </w:r>
          </w:p>
        </w:tc>
      </w:tr>
      <w:tr w:rsidR="00C91A1C" w:rsidRPr="003D682A" w:rsidTr="00400F7B">
        <w:trPr>
          <w:trHeight w:val="31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α</w:t>
            </w:r>
            <w:r w:rsidRPr="003D682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5.08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σ</w:t>
            </w:r>
            <w:r w:rsidRPr="003D682A">
              <w:rPr>
                <w:rFonts w:ascii="Times New Roman" w:hAnsi="Times New Roman"/>
                <w:vertAlign w:val="superscript"/>
              </w:rPr>
              <w:t xml:space="preserve">2 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3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β</w:t>
            </w:r>
            <w:r w:rsidRPr="003D682A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0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τ</w:t>
            </w:r>
            <w:r w:rsidRPr="003D682A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0.5</w:t>
            </w:r>
          </w:p>
        </w:tc>
      </w:tr>
      <w:tr w:rsidR="00C91A1C" w:rsidRPr="003D682A" w:rsidTr="00400F7B">
        <w:trPr>
          <w:trHeight w:val="255"/>
        </w:trPr>
        <w:tc>
          <w:tcPr>
            <w:tcW w:w="410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Current Size (N0)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M</w:t>
            </w:r>
            <w:r w:rsidRPr="003D682A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5.08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V</w:t>
            </w:r>
            <w:r w:rsidRPr="003D682A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1</w:t>
            </w:r>
          </w:p>
        </w:tc>
      </w:tr>
      <w:tr w:rsidR="00C91A1C" w:rsidRPr="003D682A" w:rsidTr="00400F7B">
        <w:trPr>
          <w:trHeight w:val="31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α</w:t>
            </w:r>
            <w:r w:rsidRPr="003D682A">
              <w:rPr>
                <w:rFonts w:ascii="Times New Roman" w:hAnsi="Times New Roman"/>
                <w:vertAlign w:val="superscript"/>
              </w:rPr>
              <w:t xml:space="preserve">2 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5.08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σ</w:t>
            </w:r>
            <w:r w:rsidRPr="003D682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3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β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0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τ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0.5</w:t>
            </w:r>
          </w:p>
        </w:tc>
      </w:tr>
      <w:tr w:rsidR="00C91A1C" w:rsidRPr="003D682A" w:rsidTr="00400F7B">
        <w:trPr>
          <w:trHeight w:val="255"/>
        </w:trPr>
        <w:tc>
          <w:tcPr>
            <w:tcW w:w="410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Mutation Rate (μ)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M</w:t>
            </w:r>
            <w:r w:rsidRPr="003D682A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-3.3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V</w:t>
            </w:r>
            <w:r w:rsidRPr="003D682A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0.5</w:t>
            </w:r>
          </w:p>
        </w:tc>
      </w:tr>
      <w:tr w:rsidR="00C91A1C" w:rsidRPr="003D682A" w:rsidTr="00400F7B">
        <w:trPr>
          <w:trHeight w:val="31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α</w:t>
            </w:r>
            <w:r w:rsidRPr="003D682A">
              <w:rPr>
                <w:rFonts w:ascii="Times New Roman" w:hAnsi="Times New Roman"/>
                <w:vertAlign w:val="superscript"/>
              </w:rPr>
              <w:t xml:space="preserve">2 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-3.3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σ</w:t>
            </w:r>
            <w:r w:rsidRPr="003D682A">
              <w:rPr>
                <w:rFonts w:ascii="Times New Roman" w:hAnsi="Times New Roman"/>
                <w:vertAlign w:val="superscript"/>
              </w:rPr>
              <w:t xml:space="preserve">2 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0.5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β</w:t>
            </w:r>
            <w:r w:rsidRPr="003D682A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0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τ</w:t>
            </w:r>
            <w:r w:rsidRPr="003D682A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2</w:t>
            </w:r>
          </w:p>
        </w:tc>
      </w:tr>
      <w:tr w:rsidR="00C91A1C" w:rsidRPr="003D682A" w:rsidTr="00400F7B">
        <w:trPr>
          <w:trHeight w:val="288"/>
        </w:trPr>
        <w:tc>
          <w:tcPr>
            <w:tcW w:w="410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Time Interval (t)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M</w:t>
            </w:r>
            <w:r w:rsidRPr="003D682A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4.04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V</w:t>
            </w:r>
            <w:r w:rsidRPr="003D682A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1</w:t>
            </w:r>
          </w:p>
        </w:tc>
      </w:tr>
      <w:tr w:rsidR="00C91A1C" w:rsidRPr="003D682A" w:rsidTr="00400F7B">
        <w:trPr>
          <w:trHeight w:val="31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α</w:t>
            </w:r>
            <w:r w:rsidRPr="003D682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4.04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σ</w:t>
            </w:r>
            <w:r w:rsidRPr="003D682A">
              <w:rPr>
                <w:rFonts w:ascii="Times New Roman" w:hAnsi="Times New Roman"/>
                <w:vertAlign w:val="superscript"/>
              </w:rPr>
              <w:t xml:space="preserve">2 </w:t>
            </w:r>
          </w:p>
        </w:tc>
        <w:tc>
          <w:tcPr>
            <w:tcW w:w="212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3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β</w:t>
            </w:r>
            <w:r w:rsidRPr="003D682A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28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0</w:t>
            </w:r>
          </w:p>
        </w:tc>
      </w:tr>
      <w:tr w:rsidR="00C91A1C" w:rsidRPr="003D682A" w:rsidTr="00400F7B">
        <w:trPr>
          <w:trHeight w:val="255"/>
        </w:trPr>
        <w:tc>
          <w:tcPr>
            <w:tcW w:w="15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τ</w:t>
            </w:r>
            <w:r w:rsidRPr="003D682A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1A1C" w:rsidRPr="003D682A" w:rsidRDefault="00C91A1C" w:rsidP="00400F7B">
            <w:pPr>
              <w:contextualSpacing/>
              <w:jc w:val="right"/>
              <w:rPr>
                <w:rFonts w:ascii="Times New Roman" w:hAnsi="Times New Roman"/>
              </w:rPr>
            </w:pPr>
            <w:r w:rsidRPr="003D682A">
              <w:rPr>
                <w:rFonts w:ascii="Times New Roman" w:hAnsi="Times New Roman"/>
              </w:rPr>
              <w:t>0.5</w:t>
            </w:r>
          </w:p>
        </w:tc>
      </w:tr>
    </w:tbl>
    <w:p w:rsidR="00C91A1C" w:rsidRPr="003D682A" w:rsidRDefault="00C91A1C" w:rsidP="00C91A1C">
      <w:pPr>
        <w:contextualSpacing/>
        <w:rPr>
          <w:rFonts w:ascii="Times New Roman" w:hAnsi="Times New Roman"/>
          <w:sz w:val="20"/>
          <w:szCs w:val="20"/>
        </w:rPr>
      </w:pPr>
      <w:r w:rsidRPr="003D682A">
        <w:rPr>
          <w:rFonts w:ascii="Times New Roman" w:hAnsi="Times New Roman"/>
          <w:vertAlign w:val="superscript"/>
        </w:rPr>
        <w:t xml:space="preserve">1 </w:t>
      </w:r>
      <w:r w:rsidRPr="003D682A">
        <w:rPr>
          <w:rFonts w:ascii="Times New Roman" w:hAnsi="Times New Roman"/>
          <w:sz w:val="20"/>
          <w:szCs w:val="20"/>
        </w:rPr>
        <w:t>Priors for the mean (</w:t>
      </w:r>
      <w:r w:rsidRPr="003D682A">
        <w:rPr>
          <w:rFonts w:ascii="Times New Roman" w:hAnsi="Times New Roman"/>
          <w:i/>
          <w:sz w:val="20"/>
          <w:szCs w:val="20"/>
        </w:rPr>
        <w:t>M</w:t>
      </w:r>
      <w:r w:rsidRPr="003D682A">
        <w:rPr>
          <w:rFonts w:ascii="Times New Roman" w:hAnsi="Times New Roman"/>
          <w:sz w:val="20"/>
          <w:szCs w:val="20"/>
        </w:rPr>
        <w:t>) and variance among loci (</w:t>
      </w:r>
      <w:r w:rsidRPr="003D682A">
        <w:rPr>
          <w:rFonts w:ascii="Times New Roman" w:hAnsi="Times New Roman"/>
          <w:i/>
          <w:sz w:val="20"/>
          <w:szCs w:val="20"/>
        </w:rPr>
        <w:t>V</w:t>
      </w:r>
      <w:r w:rsidRPr="003D682A">
        <w:rPr>
          <w:rFonts w:ascii="Times New Roman" w:hAnsi="Times New Roman"/>
          <w:sz w:val="20"/>
          <w:szCs w:val="20"/>
        </w:rPr>
        <w:t>) of the corresponding parameters reported as log10-transformed values.</w:t>
      </w:r>
    </w:p>
    <w:p w:rsidR="00C91A1C" w:rsidRPr="003D682A" w:rsidRDefault="00C91A1C" w:rsidP="00C91A1C">
      <w:pPr>
        <w:contextualSpacing/>
        <w:rPr>
          <w:rFonts w:ascii="Times New Roman" w:hAnsi="Times New Roman"/>
        </w:rPr>
      </w:pPr>
      <w:r w:rsidRPr="003D682A">
        <w:rPr>
          <w:rFonts w:ascii="Times New Roman" w:hAnsi="Times New Roman"/>
          <w:sz w:val="20"/>
          <w:szCs w:val="20"/>
          <w:vertAlign w:val="superscript"/>
        </w:rPr>
        <w:t>2</w:t>
      </w:r>
      <w:r w:rsidRPr="003D68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D682A">
        <w:rPr>
          <w:rFonts w:ascii="Times New Roman" w:hAnsi="Times New Roman"/>
          <w:sz w:val="20"/>
          <w:szCs w:val="20"/>
        </w:rPr>
        <w:t>Hyperpriors</w:t>
      </w:r>
      <w:proofErr w:type="spellEnd"/>
      <w:r w:rsidRPr="003D682A">
        <w:rPr>
          <w:rFonts w:ascii="Times New Roman" w:hAnsi="Times New Roman"/>
          <w:sz w:val="20"/>
          <w:szCs w:val="20"/>
        </w:rPr>
        <w:t xml:space="preserve"> used to model the prior log</w:t>
      </w:r>
      <w:r w:rsidRPr="003D682A">
        <w:rPr>
          <w:rFonts w:ascii="Times New Roman" w:hAnsi="Times New Roman"/>
          <w:sz w:val="20"/>
          <w:szCs w:val="20"/>
          <w:vertAlign w:val="subscript"/>
        </w:rPr>
        <w:t xml:space="preserve">10 </w:t>
      </w:r>
      <w:r w:rsidRPr="003D682A">
        <w:rPr>
          <w:rFonts w:ascii="Times New Roman" w:hAnsi="Times New Roman"/>
          <w:sz w:val="20"/>
          <w:szCs w:val="20"/>
        </w:rPr>
        <w:t>distribution for</w:t>
      </w:r>
      <w:r w:rsidRPr="003D682A">
        <w:rPr>
          <w:rFonts w:ascii="Times New Roman" w:hAnsi="Times New Roman"/>
          <w:i/>
          <w:sz w:val="20"/>
          <w:szCs w:val="20"/>
        </w:rPr>
        <w:t xml:space="preserve"> M </w:t>
      </w:r>
      <w:r w:rsidRPr="003D682A">
        <w:rPr>
          <w:rFonts w:ascii="Times New Roman" w:hAnsi="Times New Roman"/>
          <w:sz w:val="20"/>
          <w:szCs w:val="20"/>
        </w:rPr>
        <w:t>with the mean (</w:t>
      </w:r>
      <w:r w:rsidRPr="003D682A">
        <w:rPr>
          <w:rFonts w:ascii="Times New Roman" w:hAnsi="Times New Roman"/>
          <w:i/>
          <w:sz w:val="20"/>
          <w:szCs w:val="20"/>
        </w:rPr>
        <w:t>α</w:t>
      </w:r>
      <w:r w:rsidRPr="003D682A">
        <w:rPr>
          <w:rFonts w:ascii="Times New Roman" w:hAnsi="Times New Roman"/>
          <w:sz w:val="20"/>
          <w:szCs w:val="20"/>
        </w:rPr>
        <w:t>) and variance (</w:t>
      </w:r>
      <w:r w:rsidRPr="003D682A">
        <w:rPr>
          <w:rFonts w:ascii="Times New Roman" w:hAnsi="Times New Roman"/>
          <w:i/>
          <w:sz w:val="20"/>
          <w:szCs w:val="20"/>
        </w:rPr>
        <w:t>σ</w:t>
      </w:r>
      <w:r w:rsidRPr="003D682A">
        <w:rPr>
          <w:rFonts w:ascii="Times New Roman" w:hAnsi="Times New Roman"/>
          <w:sz w:val="20"/>
          <w:szCs w:val="20"/>
        </w:rPr>
        <w:t>) drawn from a normal distribution</w:t>
      </w:r>
      <w:bookmarkStart w:id="1" w:name="OLE_LINK1"/>
      <w:r w:rsidRPr="003D682A">
        <w:rPr>
          <w:rFonts w:ascii="Times New Roman" w:hAnsi="Times New Roman"/>
          <w:i/>
          <w:sz w:val="20"/>
          <w:szCs w:val="20"/>
        </w:rPr>
        <w:t>; α</w:t>
      </w:r>
      <w:r w:rsidRPr="003D682A">
        <w:rPr>
          <w:rFonts w:ascii="Times New Roman" w:hAnsi="Times New Roman"/>
          <w:sz w:val="20"/>
          <w:szCs w:val="20"/>
        </w:rPr>
        <w:t xml:space="preserve"> and </w:t>
      </w:r>
      <w:r w:rsidRPr="003D682A">
        <w:rPr>
          <w:rFonts w:ascii="Times New Roman" w:hAnsi="Times New Roman"/>
          <w:i/>
          <w:sz w:val="20"/>
          <w:szCs w:val="20"/>
        </w:rPr>
        <w:t>σ</w:t>
      </w:r>
      <w:r w:rsidRPr="003D682A">
        <w:rPr>
          <w:rFonts w:ascii="Times New Roman" w:hAnsi="Times New Roman"/>
          <w:sz w:val="20"/>
          <w:szCs w:val="20"/>
        </w:rPr>
        <w:t xml:space="preserve"> are reported as log</w:t>
      </w:r>
      <w:r w:rsidRPr="003D682A">
        <w:rPr>
          <w:rFonts w:ascii="Times New Roman" w:hAnsi="Times New Roman"/>
          <w:sz w:val="20"/>
          <w:szCs w:val="20"/>
          <w:vertAlign w:val="subscript"/>
        </w:rPr>
        <w:t>10</w:t>
      </w:r>
      <w:r w:rsidRPr="003D682A">
        <w:rPr>
          <w:rFonts w:ascii="Times New Roman" w:hAnsi="Times New Roman"/>
          <w:sz w:val="20"/>
          <w:szCs w:val="20"/>
        </w:rPr>
        <w:t>-transformed values.</w:t>
      </w:r>
      <w:bookmarkEnd w:id="1"/>
    </w:p>
    <w:p w:rsidR="00C91A1C" w:rsidRPr="003D682A" w:rsidRDefault="00C91A1C" w:rsidP="00C91A1C">
      <w:pPr>
        <w:contextualSpacing/>
        <w:rPr>
          <w:rFonts w:ascii="Times New Roman" w:hAnsi="Times New Roman"/>
          <w:sz w:val="24"/>
          <w:szCs w:val="24"/>
        </w:rPr>
      </w:pPr>
      <w:r w:rsidRPr="003D682A">
        <w:rPr>
          <w:rFonts w:ascii="Times New Roman" w:hAnsi="Times New Roman"/>
          <w:vertAlign w:val="superscript"/>
        </w:rPr>
        <w:t>3</w:t>
      </w:r>
      <w:r w:rsidRPr="003D682A">
        <w:rPr>
          <w:rFonts w:ascii="Times New Roman" w:hAnsi="Times New Roman"/>
        </w:rPr>
        <w:t xml:space="preserve"> </w:t>
      </w:r>
      <w:proofErr w:type="spellStart"/>
      <w:r w:rsidRPr="003D682A">
        <w:rPr>
          <w:rFonts w:ascii="Times New Roman" w:hAnsi="Times New Roman"/>
          <w:sz w:val="20"/>
          <w:szCs w:val="20"/>
        </w:rPr>
        <w:t>Hyperpriors</w:t>
      </w:r>
      <w:proofErr w:type="spellEnd"/>
      <w:r w:rsidRPr="003D682A">
        <w:rPr>
          <w:rFonts w:ascii="Times New Roman" w:hAnsi="Times New Roman"/>
          <w:sz w:val="20"/>
          <w:szCs w:val="20"/>
        </w:rPr>
        <w:t xml:space="preserve"> used to model the prior log</w:t>
      </w:r>
      <w:r w:rsidRPr="003D682A">
        <w:rPr>
          <w:rFonts w:ascii="Times New Roman" w:hAnsi="Times New Roman"/>
          <w:sz w:val="20"/>
          <w:szCs w:val="20"/>
          <w:vertAlign w:val="subscript"/>
        </w:rPr>
        <w:t xml:space="preserve">10 </w:t>
      </w:r>
      <w:r w:rsidRPr="003D682A">
        <w:rPr>
          <w:rFonts w:ascii="Times New Roman" w:hAnsi="Times New Roman"/>
          <w:sz w:val="20"/>
          <w:szCs w:val="20"/>
        </w:rPr>
        <w:t>distribution for</w:t>
      </w:r>
      <w:r w:rsidRPr="003D682A">
        <w:rPr>
          <w:rFonts w:ascii="Times New Roman" w:hAnsi="Times New Roman"/>
          <w:i/>
          <w:sz w:val="20"/>
          <w:szCs w:val="20"/>
        </w:rPr>
        <w:t xml:space="preserve"> V </w:t>
      </w:r>
      <w:r w:rsidRPr="003D682A">
        <w:rPr>
          <w:rFonts w:ascii="Times New Roman" w:hAnsi="Times New Roman"/>
          <w:sz w:val="20"/>
          <w:szCs w:val="20"/>
        </w:rPr>
        <w:t>with the mean (</w:t>
      </w:r>
      <w:r w:rsidRPr="003D682A">
        <w:rPr>
          <w:rFonts w:ascii="Times New Roman" w:hAnsi="Times New Roman"/>
          <w:i/>
          <w:sz w:val="20"/>
          <w:szCs w:val="20"/>
        </w:rPr>
        <w:t>β</w:t>
      </w:r>
      <w:r w:rsidRPr="003D682A">
        <w:rPr>
          <w:rFonts w:ascii="Times New Roman" w:hAnsi="Times New Roman"/>
          <w:sz w:val="20"/>
          <w:szCs w:val="20"/>
        </w:rPr>
        <w:t>) and variance (</w:t>
      </w:r>
      <w:r w:rsidRPr="003D682A">
        <w:rPr>
          <w:rFonts w:ascii="Times New Roman" w:hAnsi="Times New Roman"/>
          <w:i/>
          <w:sz w:val="20"/>
          <w:szCs w:val="20"/>
        </w:rPr>
        <w:t>τ</w:t>
      </w:r>
      <w:r w:rsidRPr="003D682A">
        <w:rPr>
          <w:rFonts w:ascii="Times New Roman" w:hAnsi="Times New Roman"/>
          <w:sz w:val="20"/>
          <w:szCs w:val="20"/>
        </w:rPr>
        <w:t>) drawn from a normal</w:t>
      </w:r>
      <w:r>
        <w:rPr>
          <w:rFonts w:ascii="Times New Roman" w:hAnsi="Times New Roman"/>
          <w:sz w:val="20"/>
          <w:szCs w:val="20"/>
        </w:rPr>
        <w:t xml:space="preserve"> distribution truncated at zero.</w:t>
      </w:r>
    </w:p>
    <w:p w:rsidR="00433293" w:rsidRDefault="00C91A1C"/>
    <w:sectPr w:rsidR="0043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1C"/>
    <w:rsid w:val="0013722D"/>
    <w:rsid w:val="00C56886"/>
    <w:rsid w:val="00C91A1C"/>
    <w:rsid w:val="00CD4FE5"/>
    <w:rsid w:val="00E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4D723-0D96-4489-B604-9F27DC05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1C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</dc:creator>
  <cp:keywords/>
  <dc:description/>
  <cp:lastModifiedBy>Cass</cp:lastModifiedBy>
  <cp:revision>1</cp:revision>
  <dcterms:created xsi:type="dcterms:W3CDTF">2015-07-29T18:40:00Z</dcterms:created>
  <dcterms:modified xsi:type="dcterms:W3CDTF">2015-07-29T18:42:00Z</dcterms:modified>
</cp:coreProperties>
</file>