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B5E7B" w14:textId="77777777" w:rsidR="008C6CC7" w:rsidRDefault="008C6CC7">
      <w:pPr>
        <w:spacing w:line="480" w:lineRule="auto"/>
        <w:rPr>
          <w:b/>
        </w:rPr>
      </w:pPr>
      <w:r>
        <w:rPr>
          <w:b/>
        </w:rPr>
        <w:t>Supplementary materials</w:t>
      </w:r>
    </w:p>
    <w:p w14:paraId="2794848E" w14:textId="77777777" w:rsidR="008C6CC7" w:rsidRDefault="008C6CC7">
      <w:pPr>
        <w:spacing w:line="480" w:lineRule="auto"/>
      </w:pPr>
      <w:r>
        <w:rPr>
          <w:b/>
        </w:rPr>
        <w:t>Suppl. 1: Library preparation for multiplexed second-generation sequencing</w:t>
      </w:r>
    </w:p>
    <w:p w14:paraId="07ADF669" w14:textId="737173A1" w:rsidR="008C6CC7" w:rsidRDefault="008C6CC7">
      <w:pPr>
        <w:spacing w:line="480" w:lineRule="auto"/>
        <w:ind w:firstLine="720"/>
        <w:rPr>
          <w:i/>
        </w:rPr>
      </w:pPr>
      <w:r>
        <w:t xml:space="preserve">We constructed low-cost multiplexed libraries for the Illumina platform. The Illumina library preparation protocol was derived from two sources </w:t>
      </w:r>
      <w:r>
        <w:fldChar w:fldCharType="begin" w:fldLock="1"/>
      </w:r>
      <w:r>
        <w:instrText>ADDIN CSL_CITATION { "citationItems" : [ { "id" : "ITEM-1", "itemData" : { "DOI" : "10.1101/pdb.prot5448", "ISSN" : "1559-6095", "PMID" : "20516186", "abstract" : "The large amount of DNA sequence data generated by high-throughput sequencing technologies often allows multiple samples to be sequenced in parallel on a single sequencing run. This is particularly true if subsets of the genome are studied rather than complete genomes. In recent years, target capture from sequencing libraries has largely replaced polymerase chain reaction (PCR) as the preferred method of target enrichment. Parallelizing target capture and sequencing for multiple samples requires the incorporation of sample-specific barcodes into sequencing libraries, which is necessary to trace back the sample source of each sequence. This protocol describes a fast and reliable method for the preparation of barcoded (\"indexed\") sequencing libraries for Illumina's Genome Analyzer platform. The protocol avoids expensive commercial library preparation kits and can be performed in a 96-well plate setup using multi-channel pipettes, requiring not more than two or three days of lab work. Libraries can be prepared from any type of double-stranded DNA, even if present in subnanogram quantity.", "author" : [ { "dropping-particle" : "", "family" : "Meyer", "given" : "Matthias", "non-dropping-particle" : "", "parse-names" : false, "suffix" : "" }, { "dropping-particle" : "", "family" : "Kircher", "given" : "Martin", "non-dropping-particle" : "", "parse-names" : false, "suffix" : "" } ], "container-title" : "Cold Spring Harb Protoc.", "id" : "ITEM-1", "issue" : "6", "issued" : { "date-parts" : [ [ "2010", "6" ] ] }, "note" : "From Duplicate 1 ( Illumina Sequencing Library Preparation for Highly Multiplexed Target Capture and Sequencing - Meyer, Matthias; Kircher, Martin )", "page" : "1-8", "title" : "Illumina Sequencing Library Preparation for Highly Multiplexed Target Capture and Sequencing", "type" : "article-journal", "volume" : "2010" }, "uris" : [ "http://www.mendeley.com/documents/?uuid=97ed3f88-072c-4143-9add-ab7ee5fcd44c" ] } ], "mendeley" : { "formattedCitation" : "(Meyer &amp; Kircher, 2010)", "manualFormatting" : "(Meyer &amp; Kircher, 2010", "plainTextFormattedCitation" : "(Meyer &amp; Kircher, 2010)", "previouslyFormattedCitation" : "(Meyer &amp; Kircher, 2010)" }, "properties" : { "noteIndex" : 0 }, "schema" : "https://github.com/citation-style-language/schema/raw/master/csl-citation.json" }</w:instrText>
      </w:r>
      <w:r>
        <w:fldChar w:fldCharType="separate"/>
      </w:r>
      <w:r>
        <w:rPr>
          <w:noProof/>
        </w:rPr>
        <w:t>(Meyer &amp; Kircher, 2010</w:t>
      </w:r>
      <w:r>
        <w:fldChar w:fldCharType="end"/>
      </w:r>
      <w:r>
        <w:t xml:space="preserve">; </w:t>
      </w:r>
      <w:r>
        <w:fldChar w:fldCharType="begin" w:fldLock="1"/>
      </w:r>
      <w:r>
        <w:instrText>ADDIN CSL_CITATION { "citationItems" : [ { "id" : "ITEM-1", "itemData" : { "DOI" : "10.1101/gr.128124.111", "ISSN" : "1549-5469", "PMID" : "22267522", "abstract" : "Improvements in technology have reduced the cost of DNA sequencing to the point that the limiting factor for many experiments is the time and reagent cost of sample preparation. We present an approach in which 192 sequencing libraries can be produced in a single day of technician time at a cost of about $15 per sample. These libraries are effective not only for low-pass whole-genome sequencing, but also for simultaneously enriching them in pools of approximately 100 individually barcoded samples for a subset of the genome without substantial loss in efficiency of target capture. We illustrate the power and effectiveness of this approach on about 2000 samples from a prostate cancer study.", "author" : [ { "dropping-particle" : "", "family" : "Rohland", "given" : "Nadin", "non-dropping-particle" : "", "parse-names" : false, "suffix" : "" }, { "dropping-particle" : "", "family" : "Reich", "given" : "David", "non-dropping-particle" : "", "parse-names" : false, "suffix" : "" } ], "container-title" : "Genome research", "id" : "ITEM-1", "issued" : { "date-parts" : [ [ "2012", "2", "16" ] ] }, "title" : "Cost-effective, high-throughput DNA sequencing libraries for multiplexed target capture.", "type" : "article-journal" }, "uris" : [ "http://www.mendeley.com/documents/?uuid=ef0f67cc-5c55-4a47-9aa1-c07cb8a4a2c1" ] } ], "mendeley" : { "formattedCitation" : "(Rohland &amp; Reich, 2012)", "manualFormatting" : "Rohland &amp; Reich, 2012)", "plainTextFormattedCitation" : "(Rohland &amp; Reich, 2012)", "previouslyFormattedCitation" : "(Rohland &amp; Reich, 2012)" }, "properties" : { "noteIndex" : 0 }, "schema" : "https://github.com/citation-style-language/schema/raw/master/csl-citation.json" }</w:instrText>
      </w:r>
      <w:r>
        <w:fldChar w:fldCharType="separate"/>
      </w:r>
      <w:r>
        <w:rPr>
          <w:noProof/>
        </w:rPr>
        <w:t>Rohland &amp; Reich, 2012)</w:t>
      </w:r>
      <w:r>
        <w:fldChar w:fldCharType="end"/>
      </w:r>
      <w:r>
        <w:t xml:space="preserve">, is similar to another recently published </w:t>
      </w:r>
      <w:r>
        <w:fldChar w:fldCharType="begin" w:fldLock="1"/>
      </w:r>
      <w:r>
        <w:instrText>ADDIN CSL_CITATION { "citationItems" : [ { "id" : "ITEM-1", "itemData" : { "DOI" : "10.1101/pdb.prot074187", "ISSN" : "1559-6095", "abstract" : "Despite the plummeting cost of next-generation sequencing, the preparation of sequencing libraries using commercially available kits still remains expensive. The cost can be prohibitive for large-scale comparative or experimental studies, where hundreds to thousands of samples need to be analyzed. The increasing use of multiplexing dozens to hundreds of samples underscores the urgent need to develop a cost-effective and time-efficient high-throughput method for library preparation. By opti- mizing and scaling down the steps in library construction and using commonly available reagents, the protocol described here allows for the preparation of DNA libraries in a 96-well format using no specialized equipment and at a substantial savings in both reagent cost and personnel hours. Utilizing this optimized high-throughput format results in a 10-fold cost reduction, compared to commercially available kits, making per library or pooled sample costs $12.60\u201314.90 for individually prepared libraries and $8.60\u201310.60 for pooled libraries with individual barcodes; both techniques allow for up to 144 samples to be pooled on a single lane with the barcodes tested herein.", "author" : [ { "dropping-particle" : "", "family" : "Dunham", "given" : "Joseph P", "non-dropping-particle" : "", "parse-names" : false, "suffix" : "" }, { "dropping-particle" : "", "family" : "Friesen", "given" : "Maren L", "non-dropping-particle" : "", "parse-names" : false, "suffix" : "" } ], "container-title" : "Cold Spring Harbor Protocols", "id" : "ITEM-1", "issue" : "9", "issued" : { "date-parts" : [ [ "2013", "9", "3" ] ] }, "page" : "820-834", "title" : "A Cost-Effective Method for High-Throughput Construction of Illumina Sequencing Libraries", "type" : "article-journal" }, "uris" : [ "http://www.mendeley.com/documents/?uuid=5c237eb8-26e2-4629-9936-5036620ac499" ] } ], "mendeley" : { "formattedCitation" : "(Dunham &amp; Friesen, 2013)", "plainTextFormattedCitation" : "(Dunham &amp; Friesen, 2013)", "previouslyFormattedCitation" : "(Dunham &amp; Friesen, 2013)" }, "properties" : { "noteIndex" : 0 }, "schema" : "https://github.com/citation-style-language/schema/raw/master/csl-citation.json" }</w:instrText>
      </w:r>
      <w:r>
        <w:fldChar w:fldCharType="separate"/>
      </w:r>
      <w:r>
        <w:rPr>
          <w:noProof/>
        </w:rPr>
        <w:t>(Dunham &amp; Friesen, 2013)</w:t>
      </w:r>
      <w:r>
        <w:fldChar w:fldCharType="end"/>
      </w:r>
      <w:r>
        <w:t xml:space="preserve">. While our libraries were designed for 100 </w:t>
      </w:r>
      <w:proofErr w:type="spellStart"/>
      <w:r>
        <w:t>bp</w:t>
      </w:r>
      <w:proofErr w:type="spellEnd"/>
      <w:r>
        <w:t xml:space="preserve"> single-end single</w:t>
      </w:r>
      <w:r w:rsidR="006379F1">
        <w:t>-</w:t>
      </w:r>
      <w:r>
        <w:t>index libraries for Illumina, they can easily be adapted to longer inserts as well as paired-end and double</w:t>
      </w:r>
      <w:r w:rsidR="006379F1">
        <w:t>-</w:t>
      </w:r>
      <w:r>
        <w:t>index</w:t>
      </w:r>
      <w:r w:rsidR="006379F1">
        <w:t>ing</w:t>
      </w:r>
      <w:r>
        <w:t xml:space="preserve">, by modifying the sonication parameters for DNA shearing and the indexed adapters (see below). </w:t>
      </w:r>
    </w:p>
    <w:p w14:paraId="37D2BDD0" w14:textId="77777777" w:rsidR="008C6CC7" w:rsidRDefault="008C6CC7">
      <w:pPr>
        <w:spacing w:line="480" w:lineRule="auto"/>
      </w:pPr>
      <w:r>
        <w:rPr>
          <w:i/>
        </w:rPr>
        <w:t>1) DNA shearing and sizing:</w:t>
      </w:r>
    </w:p>
    <w:p w14:paraId="2AC899B9" w14:textId="626DDCE6" w:rsidR="008C6CC7" w:rsidRDefault="008C6CC7">
      <w:pPr>
        <w:spacing w:line="480" w:lineRule="auto"/>
        <w:ind w:firstLine="720"/>
      </w:pPr>
      <w:r>
        <w:t xml:space="preserve">Long PCR amplicons for each specimen were purified using Millipore column and combined at equimolar ratios when necessary, i.e. when the </w:t>
      </w:r>
      <w:proofErr w:type="spellStart"/>
      <w:r>
        <w:t>mtDNA</w:t>
      </w:r>
      <w:proofErr w:type="spellEnd"/>
      <w:r>
        <w:t xml:space="preserve"> was amplified in more than one piece. Although this step is not strictly necessary, it allows for the removal of primer dimers, which can otherwise take up a significant portion of the libraries. Purified long</w:t>
      </w:r>
      <w:r w:rsidR="007449F6">
        <w:t>-</w:t>
      </w:r>
      <w:r>
        <w:t xml:space="preserve">PCR amplicons were sheared to an average size of 600 </w:t>
      </w:r>
      <w:proofErr w:type="spellStart"/>
      <w:r>
        <w:t>bp</w:t>
      </w:r>
      <w:proofErr w:type="spellEnd"/>
      <w:r>
        <w:t xml:space="preserve"> for Illumina libraries and 200 </w:t>
      </w:r>
      <w:proofErr w:type="spellStart"/>
      <w:r>
        <w:t>bp</w:t>
      </w:r>
      <w:proofErr w:type="spellEnd"/>
      <w:r>
        <w:t xml:space="preserve"> for Ion Torrent libraries with a </w:t>
      </w:r>
      <w:proofErr w:type="spellStart"/>
      <w:r>
        <w:t>QSonica</w:t>
      </w:r>
      <w:proofErr w:type="spellEnd"/>
      <w:r>
        <w:t xml:space="preserve"> Q800R </w:t>
      </w:r>
      <w:proofErr w:type="spellStart"/>
      <w:r>
        <w:t>Sonicator</w:t>
      </w:r>
      <w:proofErr w:type="spellEnd"/>
      <w:r>
        <w:t xml:space="preserve"> (2 min or 3 min at 30% amplitude with 10 sec on/off for Illumina and Ion Torrent, respectively). The size window of sheared amplicons was verified on an Agarose gel. Sheared DNA was recovered with a homemade </w:t>
      </w:r>
      <w:proofErr w:type="spellStart"/>
      <w:r>
        <w:t>Serapure</w:t>
      </w:r>
      <w:proofErr w:type="spellEnd"/>
      <w:r>
        <w:t xml:space="preserve"> beads suspension </w:t>
      </w:r>
      <w:r>
        <w:fldChar w:fldCharType="begin" w:fldLock="1"/>
      </w:r>
      <w:r>
        <w:instrText>ADDIN CSL_CITATION { "citationItems" : [ { "id" : "ITEM-1", "itemData" : { "DOI" : "10.1101/gr.128124.111", "ISSN" : "1549-5469", "PMID" : "22267522", "abstract" : "Improvements in technology have reduced the cost of DNA sequencing to the point that the limiting factor for many experiments is the time and reagent cost of sample preparation. We present an approach in which 192 sequencing libraries can be produced in a single day of technician time at a cost of about $15 per sample. These libraries are effective not only for low-pass whole-genome sequencing, but also for simultaneously enriching them in pools of approximately 100 individually barcoded samples for a subset of the genome without substantial loss in efficiency of target capture. We illustrate the power and effectiveness of this approach on about 2000 samples from a prostate cancer study.", "author" : [ { "dropping-particle" : "", "family" : "Rohland", "given" : "Nadin", "non-dropping-particle" : "", "parse-names" : false, "suffix" : "" }, { "dropping-particle" : "", "family" : "Reich", "given" : "David", "non-dropping-particle" : "", "parse-names" : false, "suffix" : "" } ], "container-title" : "Genome research", "id" : "ITEM-1", "issued" : { "date-parts" : [ [ "2012", "2", "16" ] ] }, "title" : "Cost-effective, high-throughput DNA sequencing libraries for multiplexed target capture.", "type" : "article-journal" }, "uris" : [ "http://www.mendeley.com/documents/?uuid=ef0f67cc-5c55-4a47-9aa1-c07cb8a4a2c1" ] } ], "mendeley" : { "formattedCitation" : "(Rohland &amp; Reich, 2012)", "plainTextFormattedCitation" : "(Rohland &amp; Reich, 2012)", "previouslyFormattedCitation" : "(Rohland &amp; Reich, 2012)" }, "properties" : { "noteIndex" : 0 }, "schema" : "https://github.com/citation-style-language/schema/raw/master/csl-citation.json" }</w:instrText>
      </w:r>
      <w:r>
        <w:fldChar w:fldCharType="separate"/>
      </w:r>
      <w:r>
        <w:rPr>
          <w:noProof/>
        </w:rPr>
        <w:t>(Rohland &amp; Reich, 2012)</w:t>
      </w:r>
      <w:r>
        <w:fldChar w:fldCharType="end"/>
      </w:r>
      <w:r>
        <w:t xml:space="preserve"> and quantified using a </w:t>
      </w:r>
      <w:proofErr w:type="spellStart"/>
      <w:r>
        <w:t>BioTek</w:t>
      </w:r>
      <w:proofErr w:type="spellEnd"/>
      <w:r>
        <w:t xml:space="preserve"> Epoch Microplate Spectrophotometer.</w:t>
      </w:r>
    </w:p>
    <w:p w14:paraId="6CBE1AC8" w14:textId="77777777" w:rsidR="008C6CC7" w:rsidRDefault="008C6CC7">
      <w:pPr>
        <w:spacing w:line="480" w:lineRule="auto"/>
        <w:ind w:firstLine="720"/>
        <w:rPr>
          <w:i/>
        </w:rPr>
      </w:pPr>
      <w:r>
        <w:t xml:space="preserve">We have found that sizing by a combination of sonication-Agarose gel-spectrophotometer yields satisfying results for library preparation on most platforms and is even preferable to more sophisticated and expensive sizing methods such as enzymatic shearing and use of the </w:t>
      </w:r>
      <w:proofErr w:type="spellStart"/>
      <w:r>
        <w:t>BioAnalyzer</w:t>
      </w:r>
      <w:proofErr w:type="spellEnd"/>
      <w:r>
        <w:t>. They are also far less demanding in materials and therefore more environmentally friendly.</w:t>
      </w:r>
    </w:p>
    <w:p w14:paraId="54165CEC" w14:textId="77777777" w:rsidR="008C6CC7" w:rsidRDefault="008C6CC7">
      <w:pPr>
        <w:spacing w:line="480" w:lineRule="auto"/>
      </w:pPr>
      <w:r>
        <w:rPr>
          <w:i/>
        </w:rPr>
        <w:t>2) Illumina library preparation:</w:t>
      </w:r>
    </w:p>
    <w:p w14:paraId="78F7A3B8" w14:textId="77777777" w:rsidR="008C6CC7" w:rsidRDefault="008C6CC7">
      <w:pPr>
        <w:spacing w:line="480" w:lineRule="auto"/>
        <w:ind w:firstLine="720"/>
      </w:pPr>
      <w:r>
        <w:t xml:space="preserve">The library preparation consisted of the combination of several previously published massively parallel sequencing protocols </w:t>
      </w:r>
      <w:r>
        <w:fldChar w:fldCharType="begin" w:fldLock="1"/>
      </w:r>
      <w:r>
        <w:instrText>ADDIN CSL_CITATION { "citationItems" : [ { "id" : "ITEM-1", "itemData" : { "DOI" : "10.1101/pdb.prot5448", "ISSN" : "1559-6095", "PMID" : "20516186", "abstract" : "The large amount of DNA sequence data generated by high-throughput sequencing technologies often allows multiple samples to be sequenced in parallel on a single sequencing run. This is particularly true if subsets of the genome are studied rather than complete genomes. In recent years, target capture from sequencing libraries has largely replaced polymerase chain reaction (PCR) as the preferred method of target enrichment. Parallelizing target capture and sequencing for multiple samples requires the incorporation of sample-specific barcodes into sequencing libraries, which is necessary to trace back the sample source of each sequence. This protocol describes a fast and reliable method for the preparation of barcoded (\"indexed\") sequencing libraries for Illumina's Genome Analyzer platform. The protocol avoids expensive commercial library preparation kits and can be performed in a 96-well plate setup using multi-channel pipettes, requiring not more than two or three days of lab work. Libraries can be prepared from any type of double-stranded DNA, even if present in subnanogram quantity.", "author" : [ { "dropping-particle" : "", "family" : "Meyer", "given" : "Matthias", "non-dropping-particle" : "", "parse-names" : false, "suffix" : "" }, { "dropping-particle" : "", "family" : "Kircher", "given" : "Martin", "non-dropping-particle" : "", "parse-names" : false, "suffix" : "" } ], "container-title" : "Cold Spring Harb Protoc.", "id" : "ITEM-1", "issue" : "6", "issued" : { "date-parts" : [ [ "2010", "6" ] ] }, "note" : "From Duplicate 1 ( Illumina Sequencing Library Preparation for Highly Multiplexed Target Capture and Sequencing - Meyer, Matthias; Kircher, Martin )", "page" : "1-8", "title" : "Illumina Sequencing Library Preparation for Highly Multiplexed Target Capture and Sequencing", "type" : "article-journal", "volume" : "2010" }, "uris" : [ "http://www.mendeley.com/documents/?uuid=97ed3f88-072c-4143-9add-ab7ee5fcd44c" ] }, { "id" : "ITEM-2", "itemData" : { "DOI" : "10.1101/gr.128124.111", "ISSN" : "1549-5469", "PMID" : "22267522", "abstract" : "Improvements in technology have reduced the cost of DNA sequencing to the point that the limiting factor for many experiments is the time and reagent cost of sample preparation. We present an approach in which 192 sequencing libraries can be produced in a single day of technician time at a cost of about $15 per sample. These libraries are effective not only for low-pass whole-genome sequencing, but also for simultaneously enriching them in pools of approximately 100 individually barcoded samples for a subset of the genome without substantial loss in efficiency of target capture. We illustrate the power and effectiveness of this approach on about 2000 samples from a prostate cancer study.", "author" : [ { "dropping-particle" : "", "family" : "Rohland", "given" : "Nadin", "non-dropping-particle" : "", "parse-names" : false, "suffix" : "" }, { "dropping-particle" : "", "family" : "Reich", "given" : "David", "non-dropping-particle" : "", "parse-names" : false, "suffix" : "" } ], "container-title" : "Genome research", "id" : "ITEM-2", "issued" : { "date-parts" : [ [ "2012", "2", "16" ] ] }, "title" : "Cost-effective, high-throughput DNA sequencing libraries for multiplexed target capture.", "type" : "article-journal" }, "uris" : [ "http://www.mendeley.com/documents/?uuid=ef0f67cc-5c55-4a47-9aa1-c07cb8a4a2c1" ] } ], "mendeley" : { "formattedCitation" : "(Meyer &amp; Kircher, 2010; Rohland &amp; Reich, 2012)", "plainTextFormattedCitation" : "(Meyer &amp; Kircher, 2010; Rohland &amp; Reich, 2012)", "previouslyFormattedCitation" : "(Meyer &amp; Kircher, 2010; Rohland &amp; Reich, 2012)" }, "properties" : { "noteIndex" : 0 }, "schema" : "https://github.com/citation-style-language/schema/raw/master/csl-citation.json" }</w:instrText>
      </w:r>
      <w:r>
        <w:fldChar w:fldCharType="separate"/>
      </w:r>
      <w:r>
        <w:rPr>
          <w:noProof/>
        </w:rPr>
        <w:t>(Meyer &amp; Kircher, 2010; Rohland &amp; Reich, 2012)</w:t>
      </w:r>
      <w:r>
        <w:fldChar w:fldCharType="end"/>
      </w:r>
      <w:r>
        <w:t xml:space="preserve"> into a double tagging </w:t>
      </w:r>
      <w:r>
        <w:lastRenderedPageBreak/>
        <w:t>approach: an internal tag attached to the 3’end of the universal adapters (we called barcode) and an external tag as part of the indexed adapter (we called index). This highly increased the number of samples to price ratio, but see below.</w:t>
      </w:r>
    </w:p>
    <w:p w14:paraId="4F50CFD1" w14:textId="77777777" w:rsidR="008C6CC7" w:rsidRDefault="008C6CC7">
      <w:pPr>
        <w:spacing w:line="480" w:lineRule="auto"/>
        <w:ind w:firstLine="720"/>
        <w:rPr>
          <w:i/>
        </w:rPr>
      </w:pPr>
      <w:r>
        <w:t xml:space="preserve">Each adapter was synthesized in two pieces (Table S4), with a 20 </w:t>
      </w:r>
      <w:proofErr w:type="spellStart"/>
      <w:r>
        <w:t>bp</w:t>
      </w:r>
      <w:proofErr w:type="spellEnd"/>
      <w:r>
        <w:t xml:space="preserve"> overlap between each half, and had an over-hanging T on the 3’end of the 3’half to increase the ligation efficiency (sticky-end ligation). We prepared an adapter mix containing a combination of the 3’half of a barcoded universal adapter and the 3’half of the index adapter. Sheared DNAs were blunt-end repaired using the NEB Quick Blunting Kit and A-tailed using </w:t>
      </w:r>
      <w:proofErr w:type="spellStart"/>
      <w:r>
        <w:t>Klenow</w:t>
      </w:r>
      <w:proofErr w:type="spellEnd"/>
      <w:r>
        <w:t xml:space="preserve"> Fragment (3’→5’ </w:t>
      </w:r>
      <w:proofErr w:type="spellStart"/>
      <w:r>
        <w:t>exo</w:t>
      </w:r>
      <w:proofErr w:type="spellEnd"/>
      <w:r>
        <w:t xml:space="preserve">–). Adapter mixes (UniAdp_barco1 &amp; 2/UniComp_barco1 &amp; 2 and </w:t>
      </w:r>
      <w:proofErr w:type="spellStart"/>
      <w:r>
        <w:t>IndAdp_short</w:t>
      </w:r>
      <w:proofErr w:type="spellEnd"/>
      <w:r>
        <w:t>/</w:t>
      </w:r>
      <w:proofErr w:type="spellStart"/>
      <w:r>
        <w:t>IndCompAdp</w:t>
      </w:r>
      <w:proofErr w:type="spellEnd"/>
      <w:r>
        <w:t xml:space="preserve">, Table S4) were ligated to individual samples using T4 Ligase, followed by adapter fill-in with </w:t>
      </w:r>
      <w:proofErr w:type="spellStart"/>
      <w:r>
        <w:rPr>
          <w:i/>
        </w:rPr>
        <w:t>Bst</w:t>
      </w:r>
      <w:proofErr w:type="spellEnd"/>
      <w:r>
        <w:t xml:space="preserve"> polymerase large fragments (barcoding). Adapters were completed by short PCR using a High-Fidelity DNA Polymerase and primers (</w:t>
      </w:r>
      <w:proofErr w:type="spellStart"/>
      <w:r>
        <w:t>UniAdp_long</w:t>
      </w:r>
      <w:proofErr w:type="spellEnd"/>
      <w:r>
        <w:t xml:space="preserve"> and IndAdp_long1 to 20) corresponding to the 5’half of the adapters with one indexed adapter per two samples (indexing).</w:t>
      </w:r>
      <w:r>
        <w:rPr>
          <w:rFonts w:ascii="Tahoma" w:hAnsi="Tahoma" w:cs="Tahoma"/>
        </w:rPr>
        <w:t xml:space="preserve"> </w:t>
      </w:r>
      <w:r>
        <w:t>We quantified each library with Thermo Scientific SYBR Green/ROX qPCR Master Mix and pooled all samples in equimolar ratio.</w:t>
      </w:r>
    </w:p>
    <w:p w14:paraId="6A415612" w14:textId="77777777" w:rsidR="008C6CC7" w:rsidRDefault="008C6CC7">
      <w:pPr>
        <w:spacing w:line="480" w:lineRule="auto"/>
      </w:pPr>
      <w:r>
        <w:rPr>
          <w:i/>
        </w:rPr>
        <w:t>3) Quadruple tagging protocol for Illumina paired-end sequencing:</w:t>
      </w:r>
    </w:p>
    <w:p w14:paraId="678FE5E0" w14:textId="2BC055AC" w:rsidR="008C6CC7" w:rsidRDefault="008C6CC7">
      <w:pPr>
        <w:spacing w:line="480" w:lineRule="auto"/>
      </w:pPr>
      <w:r>
        <w:tab/>
        <w:t xml:space="preserve">Illumina has recently introduced a double indexing library method, where both adapters (i5 and i7) have indexes. As mentioned above, for paired-end sequencing it is possible to exponentially increase the multiplexing level by introducing a tag at the 3’end of both Illumina adapters. The library preparation would be similar to the one described above, with the adapter mix consisting of the combination of the 3’ half of an i5 adapter and the 3’ half of an i7 adapter. This will provide each sample with a combination of two indexes and two barcodes. In that way, it is possible to tag 600 samples with five indexes on i5 and four indexes on i7, six barcodes for i5 adapters and five barcodes for i7 adapters. Such an approach reduces the cost of multiplexing by reducing the number of tags, the main driver of high costs for multiplexed libraries when using standard kits. This approach will be most cost-effective for barcoding purposes, where the tags </w:t>
      </w:r>
      <w:r w:rsidR="008725C4">
        <w:t xml:space="preserve">can </w:t>
      </w:r>
      <w:r>
        <w:t>be included at the 5’end of PCR primers, hence removing the substantial cost and potential errors associated with ligation.</w:t>
      </w:r>
    </w:p>
    <w:p w14:paraId="1AE0937A" w14:textId="350128CC" w:rsidR="006671DA" w:rsidRDefault="006671DA">
      <w:pPr>
        <w:spacing w:line="480" w:lineRule="auto"/>
      </w:pPr>
      <w:r w:rsidRPr="006671DA">
        <w:rPr>
          <w:b/>
        </w:rPr>
        <w:lastRenderedPageBreak/>
        <w:t>References</w:t>
      </w:r>
      <w:bookmarkStart w:id="0" w:name="_GoBack"/>
      <w:r>
        <w:t>:</w:t>
      </w:r>
      <w:bookmarkEnd w:id="0"/>
    </w:p>
    <w:p w14:paraId="1BFC316F" w14:textId="5C53F51A" w:rsidR="006671DA" w:rsidRPr="006671DA" w:rsidRDefault="006671DA" w:rsidP="006671DA">
      <w:pPr>
        <w:tabs>
          <w:tab w:val="clear" w:pos="720"/>
        </w:tabs>
        <w:spacing w:line="480" w:lineRule="auto"/>
        <w:ind w:left="360" w:hanging="360"/>
      </w:pPr>
      <w:r w:rsidRPr="006671DA">
        <w:t>Dunham JP, Friesen ML. 2013. A cost-effective method for h</w:t>
      </w:r>
      <w:r>
        <w:t>igh-throughput construction of I</w:t>
      </w:r>
      <w:r w:rsidRPr="006671DA">
        <w:t xml:space="preserve">llumina sequencing libraries. </w:t>
      </w:r>
      <w:r w:rsidRPr="006671DA">
        <w:rPr>
          <w:i/>
        </w:rPr>
        <w:t>Cold Spring Harbor Protocols</w:t>
      </w:r>
      <w:r w:rsidRPr="006671DA">
        <w:t xml:space="preserve"> 2013.9: 820-834</w:t>
      </w:r>
      <w:r>
        <w:t xml:space="preserve"> DOI </w:t>
      </w:r>
      <w:r w:rsidRPr="006671DA">
        <w:t>10.1101/pdb.prot074187</w:t>
      </w:r>
      <w:r w:rsidRPr="006671DA">
        <w:t>.</w:t>
      </w:r>
    </w:p>
    <w:p w14:paraId="433E7CE6" w14:textId="07800065" w:rsidR="006671DA" w:rsidRDefault="006671DA" w:rsidP="006671DA">
      <w:pPr>
        <w:tabs>
          <w:tab w:val="clear" w:pos="720"/>
        </w:tabs>
        <w:spacing w:line="480" w:lineRule="auto"/>
        <w:ind w:left="450" w:hanging="450"/>
      </w:pPr>
      <w:r w:rsidRPr="006671DA">
        <w:t xml:space="preserve">Meyer M, </w:t>
      </w:r>
      <w:proofErr w:type="spellStart"/>
      <w:r w:rsidRPr="006671DA">
        <w:t>Kircher</w:t>
      </w:r>
      <w:proofErr w:type="spellEnd"/>
      <w:r w:rsidRPr="006671DA">
        <w:t xml:space="preserve"> M. 2010. Illumina sequencing library preparation for highly multiplexed target</w:t>
      </w:r>
      <w:r>
        <w:t xml:space="preserve"> </w:t>
      </w:r>
      <w:r w:rsidRPr="006671DA">
        <w:t xml:space="preserve">capture and sequencing. </w:t>
      </w:r>
      <w:r w:rsidRPr="006671DA">
        <w:rPr>
          <w:i/>
        </w:rPr>
        <w:t>Cold Spring Harbor Protocols</w:t>
      </w:r>
      <w:r w:rsidRPr="006671DA">
        <w:t xml:space="preserve"> 2010:1</w:t>
      </w:r>
      <w:r w:rsidRPr="006671DA">
        <w:rPr>
          <w:rFonts w:hint="eastAsia"/>
        </w:rPr>
        <w:t>–</w:t>
      </w:r>
      <w:r w:rsidRPr="006671DA">
        <w:t>8 DOI 10.1101/pdb.prot5448.</w:t>
      </w:r>
    </w:p>
    <w:p w14:paraId="027879D8" w14:textId="77777777" w:rsidR="006671DA" w:rsidRPr="006671DA" w:rsidRDefault="006671DA" w:rsidP="006671DA">
      <w:pPr>
        <w:tabs>
          <w:tab w:val="clear" w:pos="720"/>
        </w:tabs>
        <w:spacing w:line="480" w:lineRule="auto"/>
        <w:ind w:left="360" w:hanging="360"/>
      </w:pPr>
      <w:proofErr w:type="spellStart"/>
      <w:r w:rsidRPr="006671DA">
        <w:t>Rohland</w:t>
      </w:r>
      <w:proofErr w:type="spellEnd"/>
      <w:r w:rsidRPr="006671DA">
        <w:t xml:space="preserve"> N, Reich D. 2012. Cost-effective, high-throughput DNA sequencing libraries for multiplexed target capture. </w:t>
      </w:r>
      <w:r>
        <w:rPr>
          <w:i/>
        </w:rPr>
        <w:t>Genome R</w:t>
      </w:r>
      <w:r w:rsidRPr="006671DA">
        <w:rPr>
          <w:i/>
        </w:rPr>
        <w:t>esearch</w:t>
      </w:r>
      <w:r w:rsidRPr="006671DA">
        <w:t xml:space="preserve"> 22.5: 939-946</w:t>
      </w:r>
      <w:r>
        <w:t xml:space="preserve"> DOI</w:t>
      </w:r>
      <w:r w:rsidRPr="006671DA">
        <w:t xml:space="preserve"> 10.1101/gr.128124.111.</w:t>
      </w:r>
    </w:p>
    <w:p w14:paraId="12386C5A" w14:textId="77777777" w:rsidR="006671DA" w:rsidRDefault="006671DA" w:rsidP="006671DA">
      <w:pPr>
        <w:tabs>
          <w:tab w:val="clear" w:pos="720"/>
        </w:tabs>
        <w:spacing w:line="480" w:lineRule="auto"/>
        <w:ind w:left="360" w:hanging="360"/>
      </w:pPr>
    </w:p>
    <w:sectPr w:rsidR="006671DA">
      <w:pgSz w:w="12240" w:h="15840"/>
      <w:pgMar w:top="1440" w:right="1800" w:bottom="1440" w:left="1800" w:header="720" w:footer="720" w:gutter="0"/>
      <w:lnNumType w:countBy="1" w:restart="continuous"/>
      <w:cols w:space="72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ans">
    <w:charset w:val="80"/>
    <w:family w:val="auto"/>
    <w:pitch w:val="variable"/>
  </w:font>
  <w:font w:name="Tahoma">
    <w:panose1 w:val="020B0604030504040204"/>
    <w:charset w:val="00"/>
    <w:family w:val="swiss"/>
    <w:pitch w:val="variable"/>
    <w:sig w:usb0="E1002EFF" w:usb1="C000605B" w:usb2="00000029" w:usb3="00000000" w:csb0="000101FF" w:csb1="00000000"/>
  </w:font>
  <w:font w:name="MS Gothic">
    <w:altName w:val="Arial Unicode MS"/>
    <w:panose1 w:val="020B0609070205080204"/>
    <w:charset w:val="80"/>
    <w:family w:val="moder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AB"/>
    <w:rsid w:val="0008598A"/>
    <w:rsid w:val="001C301F"/>
    <w:rsid w:val="001C69D5"/>
    <w:rsid w:val="001D1D74"/>
    <w:rsid w:val="00246B3C"/>
    <w:rsid w:val="002716BB"/>
    <w:rsid w:val="00285678"/>
    <w:rsid w:val="002A71AB"/>
    <w:rsid w:val="002E20BD"/>
    <w:rsid w:val="00311B2D"/>
    <w:rsid w:val="003C168D"/>
    <w:rsid w:val="003F6F7D"/>
    <w:rsid w:val="004842FB"/>
    <w:rsid w:val="004A5E58"/>
    <w:rsid w:val="004B12F0"/>
    <w:rsid w:val="004B3E93"/>
    <w:rsid w:val="004C0E6C"/>
    <w:rsid w:val="004D52FE"/>
    <w:rsid w:val="00526C7B"/>
    <w:rsid w:val="00546F42"/>
    <w:rsid w:val="0056422C"/>
    <w:rsid w:val="005902DD"/>
    <w:rsid w:val="005F31C1"/>
    <w:rsid w:val="006379F1"/>
    <w:rsid w:val="006671DA"/>
    <w:rsid w:val="006A24A5"/>
    <w:rsid w:val="00702DD3"/>
    <w:rsid w:val="00722A89"/>
    <w:rsid w:val="00731152"/>
    <w:rsid w:val="007449F6"/>
    <w:rsid w:val="00751C06"/>
    <w:rsid w:val="00785C83"/>
    <w:rsid w:val="00825A50"/>
    <w:rsid w:val="008725C4"/>
    <w:rsid w:val="008C6CC7"/>
    <w:rsid w:val="008C6DD4"/>
    <w:rsid w:val="00910DFD"/>
    <w:rsid w:val="00910F56"/>
    <w:rsid w:val="009646E1"/>
    <w:rsid w:val="00987A4F"/>
    <w:rsid w:val="00A00071"/>
    <w:rsid w:val="00A03FBB"/>
    <w:rsid w:val="00A3251B"/>
    <w:rsid w:val="00A75300"/>
    <w:rsid w:val="00AC41AF"/>
    <w:rsid w:val="00AE24C3"/>
    <w:rsid w:val="00AF7190"/>
    <w:rsid w:val="00B02631"/>
    <w:rsid w:val="00B17F47"/>
    <w:rsid w:val="00BB38F9"/>
    <w:rsid w:val="00BC0E95"/>
    <w:rsid w:val="00C50251"/>
    <w:rsid w:val="00C94ECE"/>
    <w:rsid w:val="00D3106E"/>
    <w:rsid w:val="00D35402"/>
    <w:rsid w:val="00D971E0"/>
    <w:rsid w:val="00DA4630"/>
    <w:rsid w:val="00DA5BD2"/>
    <w:rsid w:val="00DB3B1F"/>
    <w:rsid w:val="00DE1C8F"/>
    <w:rsid w:val="00E43721"/>
    <w:rsid w:val="00E7596E"/>
    <w:rsid w:val="00ED378D"/>
    <w:rsid w:val="00ED4A5C"/>
    <w:rsid w:val="00F24100"/>
    <w:rsid w:val="00F57A19"/>
    <w:rsid w:val="00FA19FE"/>
    <w:rsid w:val="00FD0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874DDE8"/>
  <w14:defaultImageDpi w14:val="300"/>
  <w15:docId w15:val="{0A5F1C09-0B72-42A9-9E3C-730ED8D1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20"/>
      </w:tabs>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DefaultParagraphFont">
    <w:name w:val="WW-Default Paragraph Font"/>
  </w:style>
  <w:style w:type="character" w:customStyle="1" w:styleId="CommentReference1">
    <w:name w:val="Comment Reference1"/>
    <w:rPr>
      <w:sz w:val="18"/>
      <w:szCs w:val="18"/>
    </w:rPr>
  </w:style>
  <w:style w:type="character" w:customStyle="1" w:styleId="CommentTextChar">
    <w:name w:val="Comment Text Char"/>
    <w:basedOn w:val="WW-DefaultParagraphFont"/>
  </w:style>
  <w:style w:type="character" w:customStyle="1" w:styleId="CommentSubjectChar">
    <w:name w:val="Comment Subject Char"/>
    <w:basedOn w:val="CommentTextChar"/>
  </w:style>
  <w:style w:type="character" w:customStyle="1" w:styleId="BalloonTextChar">
    <w:name w:val="Balloon Text Char"/>
    <w:basedOn w:val="WW-DefaultParagraphFont"/>
  </w:style>
  <w:style w:type="character" w:styleId="Hyperlink">
    <w:name w:val="Hyperlink"/>
  </w:style>
  <w:style w:type="character" w:styleId="CommentReference">
    <w:name w:val="annotation reference"/>
    <w:rPr>
      <w:sz w:val="18"/>
      <w:szCs w:val="18"/>
    </w:rPr>
  </w:style>
  <w:style w:type="character" w:customStyle="1" w:styleId="CommentTextChar1">
    <w:name w:val="Comment Text Char1"/>
    <w:rPr>
      <w:sz w:val="24"/>
      <w:szCs w:val="24"/>
    </w:rPr>
  </w:style>
  <w:style w:type="character" w:customStyle="1" w:styleId="CommentSubjectChar1">
    <w:name w:val="Comment Subject Char1"/>
  </w:style>
  <w:style w:type="character" w:styleId="LineNumber">
    <w:name w:val="line numbe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Free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Caption1">
    <w:name w:val="Caption1"/>
    <w:basedOn w:val="Normal"/>
    <w:pPr>
      <w:suppressLineNumbers/>
      <w:spacing w:before="120" w:after="120"/>
    </w:pPr>
  </w:style>
  <w:style w:type="paragraph" w:customStyle="1" w:styleId="CommentText1">
    <w:name w:val="Comment Text1"/>
    <w:basedOn w:val="Normal"/>
  </w:style>
  <w:style w:type="paragraph" w:customStyle="1" w:styleId="CommentSubject1">
    <w:name w:val="Comment Subject1"/>
    <w:basedOn w:val="CommentText1"/>
  </w:style>
  <w:style w:type="paragraph" w:styleId="BalloonText">
    <w:name w:val="Balloon Text"/>
    <w:basedOn w:val="Normal"/>
    <w:pPr>
      <w:spacing w:after="0"/>
    </w:pPr>
  </w:style>
  <w:style w:type="paragraph" w:customStyle="1" w:styleId="ColorfulShading-Accent11">
    <w:name w:val="Colorful Shading - Accent 11"/>
    <w:pPr>
      <w:tabs>
        <w:tab w:val="left" w:pos="720"/>
      </w:tabs>
      <w:suppressAutoHyphens/>
    </w:pPr>
  </w:style>
  <w:style w:type="paragraph" w:styleId="NormalWeb">
    <w:name w:val="Normal (Web)"/>
    <w:basedOn w:val="Normal"/>
    <w:uiPriority w:val="99"/>
    <w:pPr>
      <w:tabs>
        <w:tab w:val="clear" w:pos="720"/>
      </w:tabs>
      <w:suppressAutoHyphens w:val="0"/>
      <w:spacing w:before="280" w:after="280"/>
    </w:pPr>
  </w:style>
  <w:style w:type="paragraph" w:styleId="CommentText">
    <w:name w:val="annotation text"/>
    <w:basedOn w:val="Normal"/>
    <w:rPr>
      <w:sz w:val="24"/>
      <w:szCs w:val="24"/>
    </w:rPr>
  </w:style>
  <w:style w:type="paragraph" w:styleId="CommentSubject">
    <w:name w:val="annotation subject"/>
    <w:basedOn w:val="CommentText"/>
    <w:next w:val="Comment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80665">
      <w:bodyDiv w:val="1"/>
      <w:marLeft w:val="0"/>
      <w:marRight w:val="0"/>
      <w:marTop w:val="0"/>
      <w:marBottom w:val="0"/>
      <w:divBdr>
        <w:top w:val="none" w:sz="0" w:space="0" w:color="auto"/>
        <w:left w:val="none" w:sz="0" w:space="0" w:color="auto"/>
        <w:bottom w:val="none" w:sz="0" w:space="0" w:color="auto"/>
        <w:right w:val="none" w:sz="0" w:space="0" w:color="auto"/>
      </w:divBdr>
      <w:divsChild>
        <w:div w:id="1489713223">
          <w:marLeft w:val="0"/>
          <w:marRight w:val="0"/>
          <w:marTop w:val="0"/>
          <w:marBottom w:val="0"/>
          <w:divBdr>
            <w:top w:val="none" w:sz="0" w:space="0" w:color="auto"/>
            <w:left w:val="none" w:sz="0" w:space="0" w:color="auto"/>
            <w:bottom w:val="none" w:sz="0" w:space="0" w:color="auto"/>
            <w:right w:val="none" w:sz="0" w:space="0" w:color="auto"/>
          </w:divBdr>
          <w:divsChild>
            <w:div w:id="1561400190">
              <w:marLeft w:val="0"/>
              <w:marRight w:val="0"/>
              <w:marTop w:val="0"/>
              <w:marBottom w:val="0"/>
              <w:divBdr>
                <w:top w:val="none" w:sz="0" w:space="0" w:color="auto"/>
                <w:left w:val="none" w:sz="0" w:space="0" w:color="auto"/>
                <w:bottom w:val="none" w:sz="0" w:space="0" w:color="auto"/>
                <w:right w:val="none" w:sz="0" w:space="0" w:color="auto"/>
              </w:divBdr>
              <w:divsChild>
                <w:div w:id="119228426">
                  <w:marLeft w:val="0"/>
                  <w:marRight w:val="0"/>
                  <w:marTop w:val="0"/>
                  <w:marBottom w:val="0"/>
                  <w:divBdr>
                    <w:top w:val="none" w:sz="0" w:space="0" w:color="auto"/>
                    <w:left w:val="none" w:sz="0" w:space="0" w:color="auto"/>
                    <w:bottom w:val="none" w:sz="0" w:space="0" w:color="auto"/>
                    <w:right w:val="none" w:sz="0" w:space="0" w:color="auto"/>
                  </w:divBdr>
                  <w:divsChild>
                    <w:div w:id="1812668209">
                      <w:marLeft w:val="0"/>
                      <w:marRight w:val="0"/>
                      <w:marTop w:val="0"/>
                      <w:marBottom w:val="0"/>
                      <w:divBdr>
                        <w:top w:val="none" w:sz="0" w:space="0" w:color="auto"/>
                        <w:left w:val="none" w:sz="0" w:space="0" w:color="auto"/>
                        <w:bottom w:val="none" w:sz="0" w:space="0" w:color="auto"/>
                        <w:right w:val="none" w:sz="0" w:space="0" w:color="auto"/>
                      </w:divBdr>
                      <w:divsChild>
                        <w:div w:id="221335779">
                          <w:marLeft w:val="0"/>
                          <w:marRight w:val="0"/>
                          <w:marTop w:val="0"/>
                          <w:marBottom w:val="0"/>
                          <w:divBdr>
                            <w:top w:val="none" w:sz="0" w:space="0" w:color="auto"/>
                            <w:left w:val="none" w:sz="0" w:space="0" w:color="auto"/>
                            <w:bottom w:val="none" w:sz="0" w:space="0" w:color="auto"/>
                            <w:right w:val="none" w:sz="0" w:space="0" w:color="auto"/>
                          </w:divBdr>
                          <w:divsChild>
                            <w:div w:id="1322270925">
                              <w:marLeft w:val="0"/>
                              <w:marRight w:val="0"/>
                              <w:marTop w:val="0"/>
                              <w:marBottom w:val="0"/>
                              <w:divBdr>
                                <w:top w:val="none" w:sz="0" w:space="0" w:color="auto"/>
                                <w:left w:val="none" w:sz="0" w:space="0" w:color="auto"/>
                                <w:bottom w:val="none" w:sz="0" w:space="0" w:color="auto"/>
                                <w:right w:val="none" w:sz="0" w:space="0" w:color="auto"/>
                              </w:divBdr>
                              <w:divsChild>
                                <w:div w:id="15416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2615</Words>
  <Characters>14907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Collins</dc:creator>
  <cp:keywords/>
  <cp:lastModifiedBy>Hannah Lewis</cp:lastModifiedBy>
  <cp:revision>3</cp:revision>
  <cp:lastPrinted>2015-09-17T18:01:00Z</cp:lastPrinted>
  <dcterms:created xsi:type="dcterms:W3CDTF">2015-10-22T19:19:00Z</dcterms:created>
  <dcterms:modified xsi:type="dcterms:W3CDTF">2015-11-11T02:23:00Z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http://www.zotero.org/styles/peerj</vt:lpwstr>
  </property>
  <property fmtid="{D5CDD505-2E9C-101B-9397-08002B2CF9AE}" pid="7" name="Mendeley Document_1">
    <vt:lpwstr>True</vt:lpwstr>
  </property>
  <property fmtid="{D5CDD505-2E9C-101B-9397-08002B2CF9AE}" pid="8" name="Mendeley Recent Style Id 0_1">
    <vt:lpwstr>http://www.zotero.org/styles/american-medical-association</vt:lpwstr>
  </property>
  <property fmtid="{D5CDD505-2E9C-101B-9397-08002B2CF9AE}" pid="9" name="Mendeley Recent Style Id 1_1">
    <vt:lpwstr>http://www.zotero.org/styles/american-political-science-association</vt:lpwstr>
  </property>
  <property fmtid="{D5CDD505-2E9C-101B-9397-08002B2CF9AE}" pid="10" name="Mendeley Recent Style Id 2_1">
    <vt:lpwstr>http://www.zotero.org/styles/apa</vt:lpwstr>
  </property>
  <property fmtid="{D5CDD505-2E9C-101B-9397-08002B2CF9AE}" pid="11" name="Mendeley Recent Style Id 3_1">
    <vt:lpwstr>http://www.zotero.org/styles/american-sociological-association</vt:lpwstr>
  </property>
  <property fmtid="{D5CDD505-2E9C-101B-9397-08002B2CF9AE}" pid="12" name="Mendeley Recent Style Id 4_1">
    <vt:lpwstr>http://www.zotero.org/styles/chicago-author-date</vt:lpwstr>
  </property>
  <property fmtid="{D5CDD505-2E9C-101B-9397-08002B2CF9AE}" pid="13" name="Mendeley Recent Style Id 5_1">
    <vt:lpwstr>http://www.zotero.org/styles/harvard1</vt:lpwstr>
  </property>
  <property fmtid="{D5CDD505-2E9C-101B-9397-08002B2CF9AE}" pid="14" name="Mendeley Recent Style Id 6_1">
    <vt:lpwstr>http://www.zotero.org/styles/ieee</vt:lpwstr>
  </property>
  <property fmtid="{D5CDD505-2E9C-101B-9397-08002B2CF9AE}" pid="15" name="Mendeley Recent Style Id 7_1">
    <vt:lpwstr>http://www.zotero.org/styles/modern-humanities-research-association</vt:lpwstr>
  </property>
  <property fmtid="{D5CDD505-2E9C-101B-9397-08002B2CF9AE}" pid="16" name="Mendeley Recent Style Id 8_1">
    <vt:lpwstr>http://www.zotero.org/styles/modern-language-association</vt:lpwstr>
  </property>
  <property fmtid="{D5CDD505-2E9C-101B-9397-08002B2CF9AE}" pid="17" name="Mendeley Recent Style Id 9_1">
    <vt:lpwstr>http://www.zotero.org/styles/peerj</vt:lpwstr>
  </property>
  <property fmtid="{D5CDD505-2E9C-101B-9397-08002B2CF9AE}" pid="18" name="Mendeley Recent Style Name 0_1">
    <vt:lpwstr>American Medical Association</vt:lpwstr>
  </property>
  <property fmtid="{D5CDD505-2E9C-101B-9397-08002B2CF9AE}" pid="19" name="Mendeley Recent Style Name 1_1">
    <vt:lpwstr>American Political Science Association</vt:lpwstr>
  </property>
  <property fmtid="{D5CDD505-2E9C-101B-9397-08002B2CF9AE}" pid="20" name="Mendeley Recent Style Name 2_1">
    <vt:lpwstr>American Psychological Association 6th edition</vt:lpwstr>
  </property>
  <property fmtid="{D5CDD505-2E9C-101B-9397-08002B2CF9AE}" pid="21" name="Mendeley Recent Style Name 3_1">
    <vt:lpwstr>American Sociological Association</vt:lpwstr>
  </property>
  <property fmtid="{D5CDD505-2E9C-101B-9397-08002B2CF9AE}" pid="22" name="Mendeley Recent Style Name 4_1">
    <vt:lpwstr>Chicago Manual of Style 16th edition (author-date)</vt:lpwstr>
  </property>
  <property fmtid="{D5CDD505-2E9C-101B-9397-08002B2CF9AE}" pid="23" name="Mendeley Recent Style Name 5_1">
    <vt:lpwstr>Harvard Reference format 1 (author-date)</vt:lpwstr>
  </property>
  <property fmtid="{D5CDD505-2E9C-101B-9397-08002B2CF9AE}" pid="24" name="Mendeley Recent Style Name 6_1">
    <vt:lpwstr>IEEE</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Name 8_1">
    <vt:lpwstr>Modern Language Association 7th edition</vt:lpwstr>
  </property>
  <property fmtid="{D5CDD505-2E9C-101B-9397-08002B2CF9AE}" pid="27" name="Mendeley Recent Style Name 9_1">
    <vt:lpwstr>PeerJ</vt:lpwstr>
  </property>
  <property fmtid="{D5CDD505-2E9C-101B-9397-08002B2CF9AE}" pid="28" name="Mendeley User Name_1">
    <vt:lpwstr>ehsan.kayal@gmail.com@www.mendeley.com</vt:lpwstr>
  </property>
  <property fmtid="{D5CDD505-2E9C-101B-9397-08002B2CF9AE}" pid="29" name="ScaleCrop">
    <vt:bool>false</vt:bool>
  </property>
  <property fmtid="{D5CDD505-2E9C-101B-9397-08002B2CF9AE}" pid="30" name="ShareDoc">
    <vt:bool>false</vt:bool>
  </property>
</Properties>
</file>