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FB" w:rsidRPr="00F86BDC" w:rsidRDefault="002861FB" w:rsidP="002861FB">
      <w:pPr>
        <w:pStyle w:val="NoSpacing"/>
        <w:spacing w:line="480" w:lineRule="auto"/>
        <w:rPr>
          <w:b/>
        </w:rPr>
      </w:pPr>
      <w:r w:rsidRPr="00F86BDC">
        <w:rPr>
          <w:b/>
        </w:rPr>
        <w:t>Supplementary information</w:t>
      </w:r>
    </w:p>
    <w:p w:rsidR="002861FB" w:rsidRDefault="002861FB" w:rsidP="002861FB">
      <w:pPr>
        <w:pStyle w:val="NoSpacing"/>
        <w:spacing w:line="480" w:lineRule="auto"/>
      </w:pPr>
      <w:r w:rsidRPr="00F86BDC">
        <w:rPr>
          <w:b/>
        </w:rPr>
        <w:t>Appendix 1</w:t>
      </w:r>
      <w:r>
        <w:t>. Detailed description of the Bayesian occupancy model used to estimate trends in species’ occurrence</w:t>
      </w:r>
    </w:p>
    <w:p w:rsidR="002861FB" w:rsidRDefault="002861FB" w:rsidP="002861FB">
      <w:pPr>
        <w:spacing w:line="480" w:lineRule="auto"/>
      </w:pPr>
    </w:p>
    <w:p w:rsidR="002861FB" w:rsidRDefault="002861FB" w:rsidP="002861FB">
      <w:pPr>
        <w:spacing w:line="480" w:lineRule="auto"/>
      </w:pPr>
      <w:r>
        <w:t xml:space="preserve">The Bayesian occupancy model approach was used to estimates true occupancy per site per year given imperfect detection.  </w:t>
      </w:r>
      <w:r w:rsidRPr="000F48B3">
        <w:t>Occupancy models require detection/non</w:t>
      </w:r>
      <w:r>
        <w:t>-</w:t>
      </w:r>
      <w:r w:rsidRPr="000F48B3">
        <w:t>detection data during replicated visits within a closure period.  In our model, the closure period spans a single year.  Non</w:t>
      </w:r>
      <w:r>
        <w:t>-</w:t>
      </w:r>
      <w:r w:rsidRPr="000F48B3">
        <w:t xml:space="preserve">detection was inferred for each species not recorded on a visit where at least one other species was recorded.  </w:t>
      </w:r>
      <w:r>
        <w:t>The model is run for each species separately but uses data from other species to infer non-detection and inform detection probability (described below).</w:t>
      </w:r>
    </w:p>
    <w:p w:rsidR="002861FB" w:rsidRDefault="002861FB" w:rsidP="002861FB">
      <w:pPr>
        <w:pStyle w:val="NoSpacing"/>
        <w:spacing w:line="480" w:lineRule="auto"/>
      </w:pPr>
    </w:p>
    <w:p w:rsidR="002861FB" w:rsidRPr="009C01C2" w:rsidRDefault="002861FB" w:rsidP="002861FB">
      <w:pPr>
        <w:pStyle w:val="NoSpacing"/>
        <w:spacing w:line="480" w:lineRule="auto"/>
        <w:rPr>
          <w:rFonts w:eastAsia="Times New Roman" w:cs="Arial"/>
          <w:color w:val="000000"/>
          <w:lang w:val="en-US" w:eastAsia="en-GB"/>
        </w:rPr>
      </w:pPr>
      <w:r>
        <w:rPr>
          <w:rFonts w:eastAsia="Times New Roman" w:cs="Arial"/>
          <w:color w:val="000000"/>
          <w:lang w:val="en-US" w:eastAsia="en-GB"/>
        </w:rPr>
        <w:t xml:space="preserve">The occupancy </w:t>
      </w:r>
      <w:r>
        <w:t xml:space="preserve">model consists of two hierarchically coupled </w:t>
      </w:r>
      <w:r>
        <w:rPr>
          <w:rFonts w:eastAsia="Times New Roman" w:cs="Arial"/>
          <w:color w:val="000000"/>
          <w:lang w:val="en-US" w:eastAsia="en-GB"/>
        </w:rPr>
        <w:t>sub-models,</w:t>
      </w:r>
      <w:r w:rsidRPr="00FA14C4">
        <w:t xml:space="preserve"> </w:t>
      </w:r>
      <w:r>
        <w:t>one, the state model, governs the true presence/absence of a species at a site in a given year, the second, the observation model, governs the probably of detecting that species given its presence or absence, and is therefore conditional on the state model (Appendix 1.1)</w:t>
      </w:r>
      <w:r>
        <w:rPr>
          <w:rFonts w:eastAsia="Times New Roman" w:cs="Arial"/>
          <w:color w:val="000000"/>
          <w:lang w:val="en-US" w:eastAsia="en-GB"/>
        </w:rPr>
        <w:t>.  For each site year combination the model estimates presence or absence for the species in question (</w:t>
      </w:r>
      <w:r>
        <w:rPr>
          <w:rFonts w:eastAsia="Times New Roman" w:cs="Arial"/>
          <w:i/>
          <w:color w:val="000000"/>
          <w:lang w:val="en-US" w:eastAsia="en-GB"/>
        </w:rPr>
        <w:t>z</w:t>
      </w:r>
      <w:r w:rsidRPr="009C01C2">
        <w:rPr>
          <w:rFonts w:eastAsia="Times New Roman" w:cs="Arial"/>
          <w:i/>
          <w:color w:val="000000"/>
          <w:vertAlign w:val="subscript"/>
          <w:lang w:val="en-US" w:eastAsia="en-GB"/>
        </w:rPr>
        <w:t>it</w:t>
      </w:r>
      <w:r>
        <w:rPr>
          <w:rFonts w:eastAsia="Times New Roman" w:cs="Arial"/>
          <w:color w:val="000000"/>
          <w:lang w:val="en-US" w:eastAsia="en-GB"/>
        </w:rPr>
        <w:t xml:space="preserve">), which is </w:t>
      </w:r>
      <w:r>
        <w:t>linked to the observed data (y</w:t>
      </w:r>
      <w:r>
        <w:rPr>
          <w:i/>
          <w:iCs/>
          <w:vertAlign w:val="subscript"/>
        </w:rPr>
        <w:t>itv</w:t>
      </w:r>
      <w:r>
        <w:rPr>
          <w:iCs/>
        </w:rPr>
        <w:t>),</w:t>
      </w:r>
      <w:r>
        <w:t xml:space="preserve"> given variation in detection probability (p</w:t>
      </w:r>
      <w:r>
        <w:rPr>
          <w:i/>
          <w:iCs/>
          <w:vertAlign w:val="subscript"/>
        </w:rPr>
        <w:t>itv</w:t>
      </w:r>
      <w:r>
        <w:rPr>
          <w:iCs/>
        </w:rPr>
        <w:t>).  T</w:t>
      </w:r>
      <w:r>
        <w:t xml:space="preserve">hese </w:t>
      </w:r>
      <w:r>
        <w:rPr>
          <w:i/>
        </w:rPr>
        <w:t>z</w:t>
      </w:r>
      <w:r>
        <w:rPr>
          <w:i/>
          <w:vertAlign w:val="subscript"/>
        </w:rPr>
        <w:t>it</w:t>
      </w:r>
      <w:r>
        <w:t xml:space="preserve"> values were then combined to create an annual estimate of the proportion of occupied sites, which was in turn regressed against year to estimate a temporal trend in species’ occurrence.  </w:t>
      </w:r>
    </w:p>
    <w:p w:rsidR="002861FB" w:rsidRDefault="002861FB" w:rsidP="002861FB">
      <w:pPr>
        <w:pStyle w:val="NoSpacing"/>
        <w:spacing w:line="480" w:lineRule="auto"/>
      </w:pPr>
    </w:p>
    <w:p w:rsidR="002861FB" w:rsidRDefault="002861FB" w:rsidP="002861FB">
      <w:pPr>
        <w:pStyle w:val="NoSpacing"/>
        <w:spacing w:line="480" w:lineRule="auto"/>
        <w:rPr>
          <w:rFonts w:eastAsia="Times New Roman" w:cs="Arial"/>
          <w:color w:val="000000"/>
          <w:lang w:val="en-US" w:eastAsia="en-GB"/>
        </w:rPr>
      </w:pPr>
      <w:r>
        <w:rPr>
          <w:rFonts w:eastAsia="Times New Roman" w:cs="Arial"/>
          <w:color w:val="000000"/>
          <w:lang w:val="en-US" w:eastAsia="en-GB"/>
        </w:rPr>
        <w:t xml:space="preserve">The detection probability is estimated following capture-recapture theory </w:t>
      </w:r>
      <w:r>
        <w:rPr>
          <w:rFonts w:eastAsia="Times New Roman" w:cs="Arial"/>
          <w:color w:val="000000"/>
          <w:lang w:val="en-US" w:eastAsia="en-GB"/>
        </w:rPr>
        <w:fldChar w:fldCharType="begin" w:fldLock="1"/>
      </w:r>
      <w:r>
        <w:rPr>
          <w:rFonts w:eastAsia="Times New Roman" w:cs="Arial"/>
          <w:color w:val="000000"/>
          <w:lang w:val="en-US" w:eastAsia="en-GB"/>
        </w:rPr>
        <w:instrText>ADDIN CSL_CITATION { "citationItems" : [ { "id" : "ITEM-1", "itemData" : { "author" : [ { "dropping-particle" : "", "family" : "MacKenzie", "given" : "D.I.", "non-dropping-particle" : "", "parse-names" : false, "suffix" : "" } ], "id" : "ITEM-1", "issued" : { "date-parts" : [ [ "2006" ] ] }, "number-of-pages" : "324", "publisher" : "Academic Press", "publisher-place" : "Burlington, Massachusetts, USA", "title" : "Occupancy Estimation and Modeling: Inferring Patterns and Dynamics of Species Occurrence", "type" : "book" }, "uris" : [ "http://www.mendeley.com/documents/?uuid=841b1e96-fc8b-4aca-901e-6db1248f20c3" ] }, { "id" : "ITEM-2", "itemData" : { "DOI" : "10.1111/1365-2664.12158", "ISSN" : "00218901", "author" : [ { "dropping-particle" : "", "family" : "Strien", "given" : "Arco J.", "non-dropping-particle" : "van", "parse-names" : false, "suffix" : "" }, { "dropping-particle" : "", "family" : "Swaay", "given" : "Chris A.M.", "non-dropping-particle" : "van", "parse-names" : false, "suffix" : "" }, { "dropping-particle" : "", "family" : "Termaat", "given" : "Tim", "non-dropping-particle" : "", "parse-names" : false, "suffix" : "" } ], "container-title" : "Journal of Applied Ecology", "editor" : [ { "dropping-particle" : "", "family" : "Devictor", "given" : "Vincent", "non-dropping-particle" : "", "parse-names" : false, "suffix" : "" } ], "id" : "ITEM-2", "issue" : "6", "issued" : { "date-parts" : [ [ "2013", "12", "10" ] ] }, "page" : "1450-1458", "title" : "Opportunistic citizen science data of animal species produce reliable estimates of distribution trends if analysed with occupancy models", "type" : "article-journal", "volume" : "50" }, "uris" : [ "http://www.mendeley.com/documents/?uuid=8c85fdef-4100-4d3b-af98-8cbd3c46d4d0" ] } ], "mendeley" : { "formattedCitation" : "(MacKenzie, 2006; van Strien &lt;i&gt;et al.&lt;/i&gt;, 2013)", "plainTextFormattedCitation" : "(MacKenzie, 2006; van Strien et al., 2013)", "previouslyFormattedCitation" : "(MacKenzie, 2006; van Strien &lt;i&gt;et al.&lt;/i&gt;, 2013)" }, "properties" : { "noteIndex" : 0 }, "schema" : "https://github.com/citation-style-language/schema/raw/master/csl-citation.json" }</w:instrText>
      </w:r>
      <w:r>
        <w:rPr>
          <w:rFonts w:eastAsia="Times New Roman" w:cs="Arial"/>
          <w:color w:val="000000"/>
          <w:lang w:val="en-US" w:eastAsia="en-GB"/>
        </w:rPr>
        <w:fldChar w:fldCharType="separate"/>
      </w:r>
      <w:r>
        <w:rPr>
          <w:rFonts w:eastAsia="Times New Roman" w:cs="Arial"/>
          <w:noProof/>
          <w:color w:val="000000"/>
          <w:lang w:val="en-US" w:eastAsia="en-GB"/>
        </w:rPr>
        <w:t xml:space="preserve">(MacKenzie, 2006; van Strien </w:t>
      </w:r>
      <w:r>
        <w:rPr>
          <w:rFonts w:eastAsia="Times New Roman" w:cs="Arial"/>
          <w:i/>
          <w:noProof/>
          <w:color w:val="000000"/>
          <w:lang w:val="en-US" w:eastAsia="en-GB"/>
        </w:rPr>
        <w:t>et al.</w:t>
      </w:r>
      <w:r>
        <w:rPr>
          <w:rFonts w:eastAsia="Times New Roman" w:cs="Arial"/>
          <w:noProof/>
          <w:color w:val="000000"/>
          <w:lang w:val="en-US" w:eastAsia="en-GB"/>
        </w:rPr>
        <w:t>, 2013)</w:t>
      </w:r>
      <w:r>
        <w:rPr>
          <w:rFonts w:eastAsia="Times New Roman" w:cs="Arial"/>
          <w:color w:val="000000"/>
          <w:lang w:val="en-US" w:eastAsia="en-GB"/>
        </w:rPr>
        <w:fldChar w:fldCharType="end"/>
      </w:r>
      <w:r>
        <w:rPr>
          <w:rFonts w:eastAsia="Times New Roman" w:cs="Arial"/>
          <w:color w:val="000000"/>
          <w:lang w:val="en-US" w:eastAsia="en-GB"/>
        </w:rPr>
        <w:t xml:space="preserve"> and is informed by the number of species recorded on a given visit (</w:t>
      </w:r>
      <w:r w:rsidRPr="00421317">
        <w:rPr>
          <w:rFonts w:eastAsia="Times New Roman" w:cs="Arial"/>
          <w:i/>
          <w:color w:val="000000"/>
          <w:lang w:val="en-US" w:eastAsia="en-GB"/>
        </w:rPr>
        <w:t>L</w:t>
      </w:r>
      <w:r w:rsidRPr="00421317">
        <w:rPr>
          <w:rFonts w:eastAsia="Times New Roman" w:cs="Arial"/>
          <w:i/>
          <w:color w:val="000000"/>
          <w:vertAlign w:val="subscript"/>
          <w:lang w:val="en-US" w:eastAsia="en-GB"/>
        </w:rPr>
        <w:t>itv</w:t>
      </w:r>
      <w:r>
        <w:rPr>
          <w:rFonts w:eastAsia="Times New Roman" w:cs="Arial"/>
          <w:color w:val="000000"/>
          <w:lang w:val="en-US" w:eastAsia="en-GB"/>
        </w:rPr>
        <w:t xml:space="preserve">), a proxy for sampling effort.  </w:t>
      </w:r>
      <w:r>
        <w:t>The full model equation can be seen in Appendix 1.1 and the model structure is illustrated in Appendix 1.2.  Non-informative priors are used throughout these models</w:t>
      </w:r>
    </w:p>
    <w:p w:rsidR="002861FB" w:rsidRDefault="002861FB" w:rsidP="002861FB"/>
    <w:p w:rsidR="002861FB" w:rsidRPr="00BC09D2" w:rsidRDefault="002861FB" w:rsidP="002861FB">
      <w:pPr>
        <w:pStyle w:val="NormalWeb"/>
        <w:ind w:left="480" w:hanging="480"/>
        <w:rPr>
          <w:rFonts w:ascii="Calibri" w:hAnsi="Calibri"/>
          <w:noProof/>
          <w:sz w:val="22"/>
        </w:rPr>
      </w:pPr>
      <w:r>
        <w:lastRenderedPageBreak/>
        <w:fldChar w:fldCharType="begin" w:fldLock="1"/>
      </w:r>
      <w:r>
        <w:instrText xml:space="preserve">ADDIN Mendeley Bibliography CSL_BIBLIOGRAPHY </w:instrText>
      </w:r>
      <w:r>
        <w:fldChar w:fldCharType="separate"/>
      </w:r>
      <w:r w:rsidRPr="00BC09D2">
        <w:rPr>
          <w:rFonts w:ascii="Calibri" w:hAnsi="Calibri"/>
          <w:noProof/>
          <w:sz w:val="22"/>
        </w:rPr>
        <w:t xml:space="preserve">MacKenzie, D.I. (2006) </w:t>
      </w:r>
      <w:r w:rsidRPr="00BC09D2">
        <w:rPr>
          <w:rFonts w:ascii="Calibri" w:hAnsi="Calibri"/>
          <w:i/>
          <w:iCs/>
          <w:noProof/>
          <w:sz w:val="22"/>
        </w:rPr>
        <w:t>Occupancy Estimation and Modeling: Inferring Patterns and Dynamics of Species Occurrence</w:t>
      </w:r>
      <w:r w:rsidRPr="00BC09D2">
        <w:rPr>
          <w:rFonts w:ascii="Calibri" w:hAnsi="Calibri"/>
          <w:noProof/>
          <w:sz w:val="22"/>
        </w:rPr>
        <w:t>, Academic Press, Burlington, Massachusetts, USA.</w:t>
      </w:r>
    </w:p>
    <w:p w:rsidR="002861FB" w:rsidRPr="00BC09D2" w:rsidRDefault="002861FB" w:rsidP="002861FB">
      <w:pPr>
        <w:pStyle w:val="NormalWeb"/>
        <w:ind w:left="480" w:hanging="480"/>
        <w:rPr>
          <w:rFonts w:ascii="Calibri" w:hAnsi="Calibri"/>
          <w:noProof/>
          <w:sz w:val="22"/>
        </w:rPr>
      </w:pPr>
      <w:r w:rsidRPr="00BC09D2">
        <w:rPr>
          <w:rFonts w:ascii="Calibri" w:hAnsi="Calibri"/>
          <w:noProof/>
          <w:sz w:val="22"/>
        </w:rPr>
        <w:t xml:space="preserve">Van Strien, A.J., van Swaay, C.A.M. &amp; Termaat, T. (2013) Opportunistic citizen science data of animal species produce reliable estimates of distribution trends if analysed with occupancy models. </w:t>
      </w:r>
      <w:r w:rsidRPr="00BC09D2">
        <w:rPr>
          <w:rFonts w:ascii="Calibri" w:hAnsi="Calibri"/>
          <w:i/>
          <w:iCs/>
          <w:noProof/>
          <w:sz w:val="22"/>
        </w:rPr>
        <w:t>Journal of Applied Ecology</w:t>
      </w:r>
      <w:r w:rsidRPr="00BC09D2">
        <w:rPr>
          <w:rFonts w:ascii="Calibri" w:hAnsi="Calibri"/>
          <w:noProof/>
          <w:sz w:val="22"/>
        </w:rPr>
        <w:t xml:space="preserve">, </w:t>
      </w:r>
      <w:r w:rsidRPr="00BC09D2">
        <w:rPr>
          <w:rFonts w:ascii="Calibri" w:hAnsi="Calibri"/>
          <w:b/>
          <w:bCs/>
          <w:noProof/>
          <w:sz w:val="22"/>
        </w:rPr>
        <w:t>50</w:t>
      </w:r>
      <w:r w:rsidRPr="00BC09D2">
        <w:rPr>
          <w:rFonts w:ascii="Calibri" w:hAnsi="Calibri"/>
          <w:noProof/>
          <w:sz w:val="22"/>
        </w:rPr>
        <w:t>, 1450–1458.</w:t>
      </w:r>
    </w:p>
    <w:p w:rsidR="002861FB" w:rsidRDefault="002861FB" w:rsidP="002861FB">
      <w:r>
        <w:fldChar w:fldCharType="end"/>
      </w:r>
    </w:p>
    <w:p w:rsidR="002861FB" w:rsidRDefault="002861FB" w:rsidP="002861FB">
      <w:pPr>
        <w:spacing w:line="480" w:lineRule="auto"/>
      </w:pPr>
      <w:r>
        <w:rPr>
          <w:b/>
        </w:rPr>
        <w:t xml:space="preserve">Appendix 1.1: </w:t>
      </w:r>
      <w:r>
        <w:t>The Bayesian occupancy model used to estimate annual site occupancy.</w:t>
      </w:r>
    </w:p>
    <w:p w:rsidR="002861FB" w:rsidRDefault="002861FB" w:rsidP="002861FB">
      <w:pPr>
        <w:spacing w:line="240" w:lineRule="auto"/>
        <w:rPr>
          <w:i/>
          <w:iCs/>
          <w:vertAlign w:val="subscript"/>
        </w:rPr>
      </w:pPr>
      <w:r>
        <w:rPr>
          <w:i/>
        </w:rPr>
        <w:t>State model</w:t>
      </w:r>
      <w:r>
        <w:tab/>
      </w:r>
      <w:r>
        <w:tab/>
        <w:t>-</w:t>
      </w:r>
      <w:r>
        <w:tab/>
      </w:r>
      <w:r>
        <w:tab/>
        <w:t>z</w:t>
      </w:r>
      <w:r>
        <w:rPr>
          <w:i/>
          <w:iCs/>
          <w:vertAlign w:val="subscript"/>
        </w:rPr>
        <w:t>it</w:t>
      </w:r>
      <w:r>
        <w:t xml:space="preserve"> ~ Bernoulli(</w:t>
      </w:r>
      <w:r>
        <w:rPr>
          <w:i/>
          <w:iCs/>
        </w:rPr>
        <w:t>ψ</w:t>
      </w:r>
      <w:r>
        <w:rPr>
          <w:i/>
          <w:iCs/>
          <w:vertAlign w:val="subscript"/>
        </w:rPr>
        <w:t>it</w:t>
      </w:r>
      <w:r>
        <w:t>); logit(</w:t>
      </w:r>
      <w:r>
        <w:rPr>
          <w:i/>
          <w:iCs/>
        </w:rPr>
        <w:t>ψ</w:t>
      </w:r>
      <w:r>
        <w:rPr>
          <w:i/>
          <w:iCs/>
          <w:vertAlign w:val="subscript"/>
        </w:rPr>
        <w:t>it</w:t>
      </w:r>
      <w:r>
        <w:t xml:space="preserve">) = </w:t>
      </w:r>
      <w:r>
        <w:rPr>
          <w:i/>
          <w:iCs/>
        </w:rPr>
        <w:t>b</w:t>
      </w:r>
      <w:r>
        <w:rPr>
          <w:i/>
          <w:iCs/>
          <w:vertAlign w:val="subscript"/>
        </w:rPr>
        <w:t>t</w:t>
      </w:r>
      <w:r>
        <w:t xml:space="preserve"> +</w:t>
      </w:r>
      <w:r>
        <w:rPr>
          <w:i/>
          <w:iCs/>
        </w:rPr>
        <w:t xml:space="preserve"> u</w:t>
      </w:r>
      <w:r>
        <w:rPr>
          <w:i/>
          <w:iCs/>
          <w:vertAlign w:val="subscript"/>
        </w:rPr>
        <w:t>i</w:t>
      </w:r>
      <w:r>
        <w:rPr>
          <w:i/>
          <w:iCs/>
          <w:vertAlign w:val="subscript"/>
        </w:rPr>
        <w:tab/>
      </w:r>
      <w:r>
        <w:rPr>
          <w:i/>
          <w:iCs/>
          <w:vertAlign w:val="subscript"/>
        </w:rPr>
        <w:tab/>
      </w:r>
      <w:r>
        <w:rPr>
          <w:i/>
          <w:iCs/>
          <w:vertAlign w:val="subscript"/>
        </w:rPr>
        <w:tab/>
      </w:r>
    </w:p>
    <w:p w:rsidR="002861FB" w:rsidRDefault="002861FB" w:rsidP="002861FB">
      <w:pPr>
        <w:spacing w:line="240" w:lineRule="auto"/>
      </w:pPr>
      <w:r>
        <w:rPr>
          <w:i/>
        </w:rPr>
        <w:t>Observation model</w:t>
      </w:r>
      <w:r>
        <w:tab/>
        <w:t>-</w:t>
      </w:r>
      <w:r>
        <w:tab/>
      </w:r>
      <w:r>
        <w:tab/>
        <w:t>y</w:t>
      </w:r>
      <w:r>
        <w:rPr>
          <w:i/>
          <w:iCs/>
          <w:vertAlign w:val="subscript"/>
        </w:rPr>
        <w:t>itv</w:t>
      </w:r>
      <w:r>
        <w:t>|z</w:t>
      </w:r>
      <w:r>
        <w:rPr>
          <w:i/>
          <w:iCs/>
          <w:vertAlign w:val="subscript"/>
        </w:rPr>
        <w:t>it</w:t>
      </w:r>
      <w:r>
        <w:t xml:space="preserve"> ~ Bernoulli(z</w:t>
      </w:r>
      <w:r>
        <w:rPr>
          <w:i/>
          <w:iCs/>
          <w:vertAlign w:val="subscript"/>
        </w:rPr>
        <w:t>it</w:t>
      </w:r>
      <w:r>
        <w:t xml:space="preserve"> * p</w:t>
      </w:r>
      <w:r>
        <w:rPr>
          <w:i/>
          <w:iCs/>
          <w:vertAlign w:val="subscript"/>
        </w:rPr>
        <w:t>itv</w:t>
      </w:r>
      <w:r>
        <w:t>); logit (p</w:t>
      </w:r>
      <w:r>
        <w:rPr>
          <w:i/>
          <w:iCs/>
          <w:vertAlign w:val="subscript"/>
        </w:rPr>
        <w:t>itv</w:t>
      </w:r>
      <w:r>
        <w:t xml:space="preserve">) = </w:t>
      </w:r>
      <w:r>
        <w:rPr>
          <w:i/>
          <w:iCs/>
        </w:rPr>
        <w:t>a</w:t>
      </w:r>
      <w:r>
        <w:rPr>
          <w:i/>
          <w:iCs/>
          <w:vertAlign w:val="subscript"/>
        </w:rPr>
        <w:t>t</w:t>
      </w:r>
      <w:r>
        <w:t xml:space="preserve"> + </w:t>
      </w:r>
      <w:r>
        <w:rPr>
          <w:i/>
          <w:iCs/>
        </w:rPr>
        <w:t>c</w:t>
      </w:r>
      <w:r>
        <w:t>.log(L</w:t>
      </w:r>
      <w:r w:rsidRPr="00CD6D58">
        <w:rPr>
          <w:i/>
          <w:vertAlign w:val="subscript"/>
        </w:rPr>
        <w:t>itv</w:t>
      </w:r>
      <w:r>
        <w:t>)</w:t>
      </w:r>
      <w:r>
        <w:tab/>
      </w:r>
    </w:p>
    <w:p w:rsidR="002861FB" w:rsidRDefault="002861FB" w:rsidP="002861FB">
      <w:pPr>
        <w:spacing w:line="240" w:lineRule="auto"/>
      </w:pPr>
    </w:p>
    <w:p w:rsidR="002861FB" w:rsidRDefault="002861FB" w:rsidP="002861FB">
      <w:pPr>
        <w:spacing w:line="240" w:lineRule="auto"/>
      </w:pPr>
      <w:r>
        <w:rPr>
          <w:i/>
        </w:rPr>
        <w:t>z</w:t>
      </w:r>
      <w:r>
        <w:rPr>
          <w:i/>
          <w:vertAlign w:val="subscript"/>
        </w:rPr>
        <w:t>it</w:t>
      </w:r>
      <w:r>
        <w:t xml:space="preserve"> = True occupancy of site (i) in year (t). Can be a 1 or 0, present or absent.</w:t>
      </w:r>
    </w:p>
    <w:p w:rsidR="002861FB" w:rsidRDefault="002861FB" w:rsidP="002861FB">
      <w:pPr>
        <w:spacing w:line="240" w:lineRule="auto"/>
        <w:rPr>
          <w:iCs/>
        </w:rPr>
      </w:pPr>
      <w:r>
        <w:rPr>
          <w:i/>
          <w:iCs/>
        </w:rPr>
        <w:t>ψ</w:t>
      </w:r>
      <w:r>
        <w:rPr>
          <w:i/>
          <w:iCs/>
          <w:vertAlign w:val="subscript"/>
        </w:rPr>
        <w:t>it</w:t>
      </w:r>
      <w:r>
        <w:rPr>
          <w:iCs/>
        </w:rPr>
        <w:t xml:space="preserve"> = The probability that site (i) is occupied in year (t)</w:t>
      </w:r>
    </w:p>
    <w:p w:rsidR="002861FB" w:rsidRDefault="002861FB" w:rsidP="002861FB">
      <w:pPr>
        <w:spacing w:line="240" w:lineRule="auto"/>
      </w:pPr>
      <w:r>
        <w:rPr>
          <w:i/>
        </w:rPr>
        <w:t>b</w:t>
      </w:r>
      <w:r>
        <w:rPr>
          <w:i/>
          <w:vertAlign w:val="subscript"/>
        </w:rPr>
        <w:t>t</w:t>
      </w:r>
      <w:r>
        <w:t xml:space="preserve"> = Year effect (categorical)</w:t>
      </w:r>
    </w:p>
    <w:p w:rsidR="002861FB" w:rsidRDefault="002861FB" w:rsidP="002861FB">
      <w:pPr>
        <w:spacing w:line="240" w:lineRule="auto"/>
      </w:pPr>
      <w:r>
        <w:rPr>
          <w:i/>
          <w:iCs/>
        </w:rPr>
        <w:t>u</w:t>
      </w:r>
      <w:r>
        <w:rPr>
          <w:i/>
          <w:iCs/>
          <w:vertAlign w:val="subscript"/>
        </w:rPr>
        <w:t>i</w:t>
      </w:r>
      <w:r>
        <w:rPr>
          <w:iCs/>
        </w:rPr>
        <w:t xml:space="preserve"> = Site effect (categorical)</w:t>
      </w:r>
    </w:p>
    <w:p w:rsidR="002861FB" w:rsidRDefault="002861FB" w:rsidP="002861FB">
      <w:pPr>
        <w:spacing w:line="240" w:lineRule="auto"/>
      </w:pPr>
      <w:r>
        <w:t>y</w:t>
      </w:r>
      <w:r>
        <w:rPr>
          <w:i/>
          <w:iCs/>
          <w:vertAlign w:val="subscript"/>
        </w:rPr>
        <w:t>itv</w:t>
      </w:r>
      <w:r>
        <w:rPr>
          <w:iCs/>
        </w:rPr>
        <w:t xml:space="preserve"> = Observed presence/absence at site (i) at year (t) on visit (v)</w:t>
      </w:r>
    </w:p>
    <w:p w:rsidR="002861FB" w:rsidRDefault="002861FB" w:rsidP="002861FB">
      <w:pPr>
        <w:spacing w:line="240" w:lineRule="auto"/>
        <w:rPr>
          <w:b/>
        </w:rPr>
      </w:pPr>
      <w:r>
        <w:t>p</w:t>
      </w:r>
      <w:r>
        <w:rPr>
          <w:i/>
          <w:iCs/>
          <w:vertAlign w:val="subscript"/>
        </w:rPr>
        <w:t>itv</w:t>
      </w:r>
      <w:r>
        <w:rPr>
          <w:iCs/>
        </w:rPr>
        <w:t xml:space="preserve"> = The probability of detection at site (i) at year (t) on visit (v), conditional on </w:t>
      </w:r>
      <w:r>
        <w:rPr>
          <w:i/>
          <w:iCs/>
        </w:rPr>
        <w:t>Z</w:t>
      </w:r>
      <w:r>
        <w:rPr>
          <w:i/>
          <w:iCs/>
          <w:vertAlign w:val="subscript"/>
        </w:rPr>
        <w:t>it</w:t>
      </w:r>
      <w:r>
        <w:rPr>
          <w:iCs/>
        </w:rPr>
        <w:t xml:space="preserve"> that is the species true presence or absence.</w:t>
      </w:r>
    </w:p>
    <w:p w:rsidR="002861FB" w:rsidRDefault="002861FB" w:rsidP="002861FB">
      <w:pPr>
        <w:spacing w:line="240" w:lineRule="auto"/>
      </w:pPr>
      <w:r>
        <w:rPr>
          <w:i/>
        </w:rPr>
        <w:t>a</w:t>
      </w:r>
      <w:r>
        <w:rPr>
          <w:i/>
          <w:vertAlign w:val="subscript"/>
        </w:rPr>
        <w:t>t</w:t>
      </w:r>
      <w:r>
        <w:t xml:space="preserve"> = Year level random effect (categorical)</w:t>
      </w:r>
    </w:p>
    <w:p w:rsidR="002861FB" w:rsidRDefault="002861FB" w:rsidP="002861FB">
      <w:pPr>
        <w:spacing w:line="240" w:lineRule="auto"/>
      </w:pPr>
      <w:r>
        <w:rPr>
          <w:i/>
        </w:rPr>
        <w:t>L</w:t>
      </w:r>
      <w:r>
        <w:rPr>
          <w:i/>
          <w:vertAlign w:val="subscript"/>
        </w:rPr>
        <w:t>itv</w:t>
      </w:r>
      <w:r>
        <w:t xml:space="preserve"> = List length at site (i) in year (t) on visit (v)</w:t>
      </w:r>
    </w:p>
    <w:p w:rsidR="002861FB" w:rsidRDefault="002861FB" w:rsidP="002861FB">
      <w:pPr>
        <w:spacing w:line="240" w:lineRule="auto"/>
      </w:pPr>
      <w:r>
        <w:rPr>
          <w:i/>
        </w:rPr>
        <w:t>c</w:t>
      </w:r>
      <w:r>
        <w:t xml:space="preserve"> = Change in the log-odds of detectability associated with an increasing list length by a factor of </w:t>
      </w:r>
      <w:r>
        <w:rPr>
          <w:i/>
        </w:rPr>
        <w:t>e.</w:t>
      </w:r>
    </w:p>
    <w:p w:rsidR="002861FB" w:rsidRDefault="002861FB" w:rsidP="002861FB">
      <w:pPr>
        <w:rPr>
          <w:b/>
        </w:rPr>
      </w:pPr>
      <w:r>
        <w:rPr>
          <w:b/>
        </w:rPr>
        <w:br w:type="page"/>
      </w:r>
    </w:p>
    <w:p w:rsidR="002861FB" w:rsidRDefault="002861FB" w:rsidP="002861FB">
      <w:pPr>
        <w:spacing w:line="480" w:lineRule="auto"/>
        <w:rPr>
          <w:b/>
          <w:bCs/>
          <w:lang w:val="en"/>
        </w:rPr>
      </w:pPr>
      <w:r>
        <w:rPr>
          <w:b/>
        </w:rPr>
        <w:lastRenderedPageBreak/>
        <w:t>Appendix 1.2</w:t>
      </w:r>
      <w:r>
        <w:t xml:space="preserve"> </w:t>
      </w:r>
      <w:r>
        <w:rPr>
          <w:bCs/>
          <w:lang w:val="en"/>
        </w:rPr>
        <w:t>Directed acyclic graph illustrating the occupancy model structure. Orange shading represents the state model, blue shading represents the observation model, and the green box represents the observed data.</w:t>
      </w:r>
    </w:p>
    <w:p w:rsidR="002861FB" w:rsidRPr="009C01C2" w:rsidRDefault="002861FB" w:rsidP="002861FB">
      <w:pPr>
        <w:pStyle w:val="NoSpacing"/>
        <w:spacing w:line="480" w:lineRule="auto"/>
        <w:rPr>
          <w:rFonts w:eastAsia="Times New Roman" w:cs="Arial"/>
          <w:i/>
          <w:color w:val="000000"/>
          <w:lang w:val="en-US" w:eastAsia="en-GB"/>
        </w:rPr>
      </w:pPr>
      <w:r>
        <w:rPr>
          <w:noProof/>
          <w:lang w:eastAsia="en-GB" w:bidi="ar-SA"/>
        </w:rPr>
        <w:drawing>
          <wp:inline distT="0" distB="0" distL="0" distR="0" wp14:anchorId="0577718E" wp14:editId="524C0297">
            <wp:extent cx="5731510" cy="4298315"/>
            <wp:effectExtent l="0" t="0" r="254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731510" cy="4298315"/>
                    </a:xfrm>
                    <a:prstGeom prst="rect">
                      <a:avLst/>
                    </a:prstGeom>
                  </pic:spPr>
                </pic:pic>
              </a:graphicData>
            </a:graphic>
          </wp:inline>
        </w:drawing>
      </w:r>
    </w:p>
    <w:p w:rsidR="002861FB" w:rsidRDefault="002861FB" w:rsidP="002861FB">
      <w:r>
        <w:br w:type="page"/>
      </w:r>
    </w:p>
    <w:p w:rsidR="002861FB" w:rsidRPr="000D0D7F" w:rsidRDefault="002861FB" w:rsidP="002861FB">
      <w:r>
        <w:rPr>
          <w:b/>
        </w:rPr>
        <w:lastRenderedPageBreak/>
        <w:t xml:space="preserve">Appendix 2 </w:t>
      </w:r>
      <w:r>
        <w:t>The posterior distribution of the trend estimates for each species are summarised here as the mean, standard deviation and the lower 2.5 and upper 97.5 percentile.  All values were rounded to 4 decimal places.</w:t>
      </w:r>
    </w:p>
    <w:tbl>
      <w:tblPr>
        <w:tblW w:w="8400" w:type="dxa"/>
        <w:tblLook w:val="04A0" w:firstRow="1" w:lastRow="0" w:firstColumn="1" w:lastColumn="0" w:noHBand="0" w:noVBand="1"/>
      </w:tblPr>
      <w:tblGrid>
        <w:gridCol w:w="2880"/>
        <w:gridCol w:w="1360"/>
        <w:gridCol w:w="1320"/>
        <w:gridCol w:w="1420"/>
        <w:gridCol w:w="1420"/>
      </w:tblGrid>
      <w:tr w:rsidR="002861FB" w:rsidRPr="000D0D7F" w:rsidTr="008B09A8">
        <w:trPr>
          <w:trHeight w:val="300"/>
        </w:trPr>
        <w:tc>
          <w:tcPr>
            <w:tcW w:w="2880" w:type="dxa"/>
            <w:tcBorders>
              <w:top w:val="single" w:sz="4" w:space="0" w:color="auto"/>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b/>
                <w:bCs/>
                <w:color w:val="000000"/>
                <w:lang w:eastAsia="en-GB"/>
              </w:rPr>
            </w:pPr>
            <w:r w:rsidRPr="000D0D7F">
              <w:rPr>
                <w:rFonts w:ascii="Calibri" w:eastAsia="Times New Roman" w:hAnsi="Calibri" w:cs="Times New Roman"/>
                <w:b/>
                <w:bCs/>
                <w:color w:val="000000"/>
                <w:lang w:eastAsia="en-GB"/>
              </w:rPr>
              <w:t>Species</w:t>
            </w:r>
          </w:p>
        </w:tc>
        <w:tc>
          <w:tcPr>
            <w:tcW w:w="1360" w:type="dxa"/>
            <w:tcBorders>
              <w:top w:val="single" w:sz="4" w:space="0" w:color="auto"/>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b/>
                <w:bCs/>
                <w:color w:val="000000"/>
                <w:lang w:eastAsia="en-GB"/>
              </w:rPr>
            </w:pPr>
            <w:r w:rsidRPr="000D0D7F">
              <w:rPr>
                <w:rFonts w:ascii="Calibri" w:eastAsia="Times New Roman" w:hAnsi="Calibri" w:cs="Times New Roman"/>
                <w:b/>
                <w:bCs/>
                <w:color w:val="000000"/>
                <w:lang w:eastAsia="en-GB"/>
              </w:rPr>
              <w:t>Trend</w:t>
            </w:r>
          </w:p>
        </w:tc>
        <w:tc>
          <w:tcPr>
            <w:tcW w:w="1320" w:type="dxa"/>
            <w:tcBorders>
              <w:top w:val="single" w:sz="4" w:space="0" w:color="auto"/>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b/>
                <w:bCs/>
                <w:color w:val="000000"/>
                <w:lang w:eastAsia="en-GB"/>
              </w:rPr>
            </w:pPr>
            <w:r w:rsidRPr="000D0D7F">
              <w:rPr>
                <w:rFonts w:ascii="Calibri" w:eastAsia="Times New Roman" w:hAnsi="Calibri" w:cs="Times New Roman"/>
                <w:b/>
                <w:bCs/>
                <w:color w:val="000000"/>
                <w:lang w:eastAsia="en-GB"/>
              </w:rPr>
              <w:t>Trend sd</w:t>
            </w:r>
          </w:p>
        </w:tc>
        <w:tc>
          <w:tcPr>
            <w:tcW w:w="1420" w:type="dxa"/>
            <w:tcBorders>
              <w:top w:val="single" w:sz="4" w:space="0" w:color="auto"/>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b/>
                <w:bCs/>
                <w:color w:val="000000"/>
                <w:lang w:eastAsia="en-GB"/>
              </w:rPr>
            </w:pPr>
            <w:r w:rsidRPr="000D0D7F">
              <w:rPr>
                <w:rFonts w:ascii="Calibri" w:eastAsia="Times New Roman" w:hAnsi="Calibri" w:cs="Times New Roman"/>
                <w:b/>
                <w:bCs/>
                <w:color w:val="000000"/>
                <w:lang w:eastAsia="en-GB"/>
              </w:rPr>
              <w:t>Trend 2.5</w:t>
            </w:r>
          </w:p>
        </w:tc>
        <w:tc>
          <w:tcPr>
            <w:tcW w:w="1420" w:type="dxa"/>
            <w:tcBorders>
              <w:top w:val="single" w:sz="4" w:space="0" w:color="auto"/>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b/>
                <w:bCs/>
                <w:color w:val="000000"/>
                <w:lang w:eastAsia="en-GB"/>
              </w:rPr>
            </w:pPr>
            <w:r w:rsidRPr="000D0D7F">
              <w:rPr>
                <w:rFonts w:ascii="Calibri" w:eastAsia="Times New Roman" w:hAnsi="Calibri" w:cs="Times New Roman"/>
                <w:b/>
                <w:bCs/>
                <w:color w:val="000000"/>
                <w:lang w:eastAsia="en-GB"/>
              </w:rPr>
              <w:t>Trend 97.5</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Aeshna caerulea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-0.0060</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Aeshna cyanea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0.0021</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0.0035</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Aeshna grandis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0.0049</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0.0038</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0.0060</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Aeshna juncea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-0.0033</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-0.0023</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Aeshna mixta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0.0112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0.0097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0.0126</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Anax imperator</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0.0147</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0.0131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0.0163</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Brachytron pratense</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0.0047</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0.0039</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0.0054</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Calopteryx splendens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0.0058</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0.0051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0.0066</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Calopteryx virgo</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0.0011</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0.0018</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Ceriagrion tenellum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Coenagrion hastulatum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Coenagrion mercuriale</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Coenagrion puella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0.0006</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-0.0010</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0.0014</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Coenagrion pulchellum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Cordulegaster boltonii</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-0.0009</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Cordulia aenea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Enallagma cyathigerum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0.0013</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Erythromma najas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0.0082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0.0074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0.0090</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Gomphus vulgatissimus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Ischnura elegans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0.0017</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0.0023</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Ischnura pumilio</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-0.0020</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-0.0015</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Lestes dryas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0.0009</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Lestes sponsa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-0.0028</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-0.0014</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Leucorrhinia dubia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-0.0003</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Libellula depressa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0.0056</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0.0072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Libellula fulva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0.0014</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0.0016</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Libellula quadrimaculata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0.0048</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0.0062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Orthetrum cancellatum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0.0099</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0.0084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0.0112</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Orthetrum coerulescens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Platycnemis pennipes</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0.0026</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0.0021</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0.0030</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Pyrrhosoma nymphula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0.0057</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0.0005</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0.0046</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0.0067</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Somatochlora arctica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0.0016</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Somatochlora metallica</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0.0002</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-0.0007</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Sympetrum danae</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-0.0029</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0.0004</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-0.0036</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-0.0021</w:t>
            </w:r>
          </w:p>
        </w:tc>
      </w:tr>
      <w:tr w:rsidR="002861FB" w:rsidRPr="000D0D7F" w:rsidTr="008B09A8">
        <w:trPr>
          <w:trHeight w:val="300"/>
        </w:trPr>
        <w:tc>
          <w:tcPr>
            <w:tcW w:w="288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Sympetrum sanguineum</w:t>
            </w:r>
          </w:p>
        </w:tc>
        <w:tc>
          <w:tcPr>
            <w:tcW w:w="136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0.0105</w:t>
            </w:r>
          </w:p>
        </w:tc>
        <w:tc>
          <w:tcPr>
            <w:tcW w:w="13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0.0089</w:t>
            </w:r>
          </w:p>
        </w:tc>
        <w:tc>
          <w:tcPr>
            <w:tcW w:w="1420" w:type="dxa"/>
            <w:tcBorders>
              <w:top w:val="nil"/>
              <w:left w:val="nil"/>
              <w:bottom w:val="nil"/>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0.0121</w:t>
            </w:r>
          </w:p>
        </w:tc>
      </w:tr>
      <w:tr w:rsidR="002861FB" w:rsidRPr="000D0D7F" w:rsidTr="008B09A8">
        <w:trPr>
          <w:trHeight w:val="300"/>
        </w:trPr>
        <w:tc>
          <w:tcPr>
            <w:tcW w:w="2880" w:type="dxa"/>
            <w:tcBorders>
              <w:top w:val="nil"/>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Sympetrum striolatum</w:t>
            </w:r>
          </w:p>
        </w:tc>
        <w:tc>
          <w:tcPr>
            <w:tcW w:w="1360" w:type="dxa"/>
            <w:tcBorders>
              <w:top w:val="nil"/>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0.0000</w:t>
            </w:r>
          </w:p>
        </w:tc>
        <w:tc>
          <w:tcPr>
            <w:tcW w:w="1320" w:type="dxa"/>
            <w:tcBorders>
              <w:top w:val="nil"/>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0.0008</w:t>
            </w:r>
          </w:p>
        </w:tc>
        <w:tc>
          <w:tcPr>
            <w:tcW w:w="1420" w:type="dxa"/>
            <w:tcBorders>
              <w:top w:val="nil"/>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-0.0017</w:t>
            </w:r>
          </w:p>
        </w:tc>
        <w:tc>
          <w:tcPr>
            <w:tcW w:w="1420" w:type="dxa"/>
            <w:tcBorders>
              <w:top w:val="nil"/>
              <w:left w:val="nil"/>
              <w:bottom w:val="single" w:sz="4" w:space="0" w:color="auto"/>
              <w:right w:val="nil"/>
            </w:tcBorders>
            <w:shd w:val="clear" w:color="auto" w:fill="auto"/>
            <w:noWrap/>
            <w:vAlign w:val="bottom"/>
            <w:hideMark/>
          </w:tcPr>
          <w:p w:rsidR="002861FB" w:rsidRPr="000D0D7F" w:rsidRDefault="002861FB" w:rsidP="008B09A8">
            <w:pPr>
              <w:spacing w:after="0" w:line="240" w:lineRule="auto"/>
              <w:rPr>
                <w:rFonts w:ascii="Calibri" w:eastAsia="Times New Roman" w:hAnsi="Calibri" w:cs="Times New Roman"/>
                <w:color w:val="000000"/>
                <w:lang w:eastAsia="en-GB"/>
              </w:rPr>
            </w:pPr>
            <w:r w:rsidRPr="000D0D7F">
              <w:rPr>
                <w:rFonts w:ascii="Calibri" w:eastAsia="Times New Roman" w:hAnsi="Calibri" w:cs="Times New Roman"/>
                <w:color w:val="000000"/>
                <w:lang w:eastAsia="en-GB"/>
              </w:rPr>
              <w:t>0.0014</w:t>
            </w:r>
          </w:p>
        </w:tc>
      </w:tr>
    </w:tbl>
    <w:p w:rsidR="002861FB" w:rsidRDefault="002861FB" w:rsidP="002861FB"/>
    <w:p w:rsidR="002861FB" w:rsidRDefault="002861FB" w:rsidP="002861FB">
      <w:pPr>
        <w:rPr>
          <w:b/>
        </w:rPr>
      </w:pPr>
    </w:p>
    <w:p w:rsidR="001B414C" w:rsidRDefault="002861FB">
      <w:bookmarkStart w:id="0" w:name="_GoBack"/>
      <w:bookmarkEnd w:id="0"/>
    </w:p>
    <w:sectPr w:rsidR="001B414C" w:rsidSect="005051B2">
      <w:footerReference w:type="default" r:id="rId5"/>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623044"/>
      <w:docPartObj>
        <w:docPartGallery w:val="Page Numbers (Bottom of Page)"/>
        <w:docPartUnique/>
      </w:docPartObj>
    </w:sdtPr>
    <w:sdtEndPr>
      <w:rPr>
        <w:noProof/>
      </w:rPr>
    </w:sdtEndPr>
    <w:sdtContent>
      <w:p w:rsidR="00560EBF" w:rsidRDefault="002861F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60EBF" w:rsidRDefault="002861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FB"/>
    <w:rsid w:val="002861FB"/>
    <w:rsid w:val="006541D8"/>
    <w:rsid w:val="006E4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96F19-2E08-4C83-A5AC-A9AE4A2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FB"/>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861FB"/>
    <w:pPr>
      <w:spacing w:after="0" w:line="240" w:lineRule="auto"/>
    </w:pPr>
  </w:style>
  <w:style w:type="paragraph" w:styleId="NormalWeb">
    <w:name w:val="Normal (Web)"/>
    <w:basedOn w:val="Normal"/>
    <w:uiPriority w:val="99"/>
    <w:unhideWhenUsed/>
    <w:rsid w:val="002861FB"/>
    <w:pPr>
      <w:spacing w:before="100" w:beforeAutospacing="1" w:after="100" w:afterAutospacing="1" w:line="240" w:lineRule="auto"/>
    </w:pPr>
    <w:rPr>
      <w:rFonts w:ascii="Times New Roman" w:eastAsiaTheme="minorEastAsia" w:hAnsi="Times New Roman" w:cs="Times New Roman"/>
      <w:sz w:val="24"/>
      <w:szCs w:val="24"/>
      <w:lang w:eastAsia="en-GB" w:bidi="ar-SA"/>
    </w:rPr>
  </w:style>
  <w:style w:type="paragraph" w:styleId="Footer">
    <w:name w:val="footer"/>
    <w:basedOn w:val="Normal"/>
    <w:link w:val="FooterChar"/>
    <w:uiPriority w:val="99"/>
    <w:unhideWhenUsed/>
    <w:rsid w:val="0028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1FB"/>
    <w:rPr>
      <w:lang w:bidi="en-US"/>
    </w:rPr>
  </w:style>
  <w:style w:type="character" w:styleId="LineNumber">
    <w:name w:val="line number"/>
    <w:basedOn w:val="DefaultParagraphFont"/>
    <w:uiPriority w:val="99"/>
    <w:semiHidden/>
    <w:unhideWhenUsed/>
    <w:rsid w:val="0028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Company>CEH</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Powney, Gary D.</dc:creator>
  <cp:keywords/>
  <dc:description/>
  <cp:lastModifiedBy>Powney, Gary D.</cp:lastModifiedBy>
  <cp:revision>1</cp:revision>
  <dcterms:created xsi:type="dcterms:W3CDTF">2015-10-26T14:35:00Z</dcterms:created>
  <dcterms:modified xsi:type="dcterms:W3CDTF">2015-10-26T14:35:00Z</dcterms:modified>
</cp:coreProperties>
</file>