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6" w:rsidRPr="00C50BA4" w:rsidRDefault="00195B56">
      <w:pPr>
        <w:rPr>
          <w:rFonts w:ascii="Times New Roman" w:hAnsi="Times New Roman" w:cs="Times New Roman"/>
          <w:b/>
          <w:szCs w:val="24"/>
        </w:rPr>
      </w:pPr>
      <w:r w:rsidRPr="00C50BA4">
        <w:rPr>
          <w:rFonts w:ascii="Times New Roman" w:hAnsi="Times New Roman" w:cs="Times New Roman" w:hint="eastAsia"/>
          <w:b/>
          <w:szCs w:val="24"/>
        </w:rPr>
        <w:t>Supplementary Information</w:t>
      </w:r>
      <w:r w:rsidR="00305526">
        <w:rPr>
          <w:rFonts w:ascii="Times New Roman" w:hAnsi="Times New Roman" w:cs="Times New Roman" w:hint="eastAsia"/>
          <w:b/>
          <w:szCs w:val="24"/>
        </w:rPr>
        <w:t xml:space="preserve"> S2</w:t>
      </w:r>
      <w:r w:rsidRPr="00C50BA4">
        <w:rPr>
          <w:rFonts w:ascii="Times New Roman" w:hAnsi="Times New Roman" w:cs="Times New Roman" w:hint="eastAsia"/>
          <w:b/>
          <w:szCs w:val="24"/>
        </w:rPr>
        <w:t xml:space="preserve">: </w:t>
      </w:r>
      <w:r w:rsidR="00C50BA4" w:rsidRPr="00C50BA4">
        <w:rPr>
          <w:rFonts w:ascii="Times New Roman" w:hAnsi="Times New Roman" w:cs="Times New Roman" w:hint="eastAsia"/>
          <w:b/>
        </w:rPr>
        <w:t>The Richards model fitting for daily incidence</w:t>
      </w:r>
    </w:p>
    <w:p w:rsidR="00C50BA4" w:rsidRDefault="00C50BA4"/>
    <w:p w:rsidR="00195B56" w:rsidRDefault="00195B56" w:rsidP="00195B56">
      <w:pPr>
        <w:rPr>
          <w:rFonts w:ascii="Times New Roman" w:hAnsi="Times New Roman" w:cs="Times New Roman"/>
        </w:rPr>
      </w:pPr>
      <w:r w:rsidRPr="00C50BA4">
        <w:rPr>
          <w:rFonts w:ascii="Times New Roman" w:hAnsi="Times New Roman" w:cs="Times New Roman" w:hint="eastAsia"/>
        </w:rPr>
        <w:t xml:space="preserve">The Richards model for daily incidence is given by the differential equation: </w:t>
      </w:r>
    </w:p>
    <w:p w:rsidR="00D86859" w:rsidRPr="00C50BA4" w:rsidRDefault="00ED5079" w:rsidP="0019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25pt;margin-top:0;width:107pt;height:31pt;z-index:251658240;mso-position-horizontal-relative:text;mso-position-vertical-relative:text">
            <v:imagedata r:id="rId5" o:title=""/>
          </v:shape>
          <o:OLEObject Type="Embed" ProgID="Equation.DSMT4" ShapeID="_x0000_s1026" DrawAspect="Content" ObjectID="_1509602038" r:id="rId6"/>
        </w:pict>
      </w:r>
    </w:p>
    <w:p w:rsidR="00195B56" w:rsidRDefault="00195B56" w:rsidP="00195B56">
      <w:pPr>
        <w:rPr>
          <w:rFonts w:ascii="Times New Roman" w:hAnsi="Times New Roman" w:cs="Times New Roman"/>
        </w:rPr>
      </w:pPr>
    </w:p>
    <w:p w:rsidR="002E2F71" w:rsidRDefault="002E2F71" w:rsidP="0019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here C</w:t>
      </w:r>
      <w:proofErr w:type="gramStart"/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 w:hint="eastAsia"/>
        </w:rPr>
        <w:t>(</w:t>
      </w:r>
      <w:proofErr w:type="gramEnd"/>
      <w:r>
        <w:rPr>
          <w:rFonts w:ascii="Times New Roman" w:hAnsi="Times New Roman" w:cs="Times New Roman" w:hint="eastAsia"/>
        </w:rPr>
        <w:t>t) is the time derivative of the cumulative ca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 w:hint="eastAsia"/>
        </w:rPr>
        <w:t xml:space="preserve"> number C(t).</w:t>
      </w:r>
    </w:p>
    <w:p w:rsidR="002E2F71" w:rsidRPr="00C50BA4" w:rsidRDefault="002E2F71" w:rsidP="00195B56">
      <w:pPr>
        <w:rPr>
          <w:rFonts w:ascii="Times New Roman" w:hAnsi="Times New Roman" w:cs="Times New Roman"/>
        </w:rPr>
      </w:pPr>
    </w:p>
    <w:p w:rsidR="00195B56" w:rsidRDefault="00195B56" w:rsidP="002E2F71">
      <w:pPr>
        <w:ind w:firstLineChars="250" w:firstLine="600"/>
        <w:rPr>
          <w:rFonts w:ascii="Times New Roman" w:hAnsi="Times New Roman" w:cs="Times New Roman"/>
        </w:rPr>
      </w:pPr>
      <w:r w:rsidRPr="00C50BA4">
        <w:rPr>
          <w:rFonts w:ascii="Times New Roman" w:hAnsi="Times New Roman" w:cs="Times New Roman" w:hint="eastAsia"/>
        </w:rPr>
        <w:t xml:space="preserve">Fitting the </w:t>
      </w:r>
      <w:r w:rsidR="00AA4EF2">
        <w:rPr>
          <w:rFonts w:ascii="Times New Roman" w:hAnsi="Times New Roman" w:cs="Times New Roman" w:hint="eastAsia"/>
        </w:rPr>
        <w:t xml:space="preserve">above </w:t>
      </w:r>
      <w:r w:rsidRPr="00C50BA4">
        <w:rPr>
          <w:rFonts w:ascii="Times New Roman" w:hAnsi="Times New Roman" w:cs="Times New Roman" w:hint="eastAsia"/>
        </w:rPr>
        <w:t xml:space="preserve">model to the daily incidence data </w:t>
      </w:r>
      <w:r w:rsidR="001C0278">
        <w:rPr>
          <w:rFonts w:ascii="Times New Roman" w:hAnsi="Times New Roman" w:cs="Times New Roman" w:hint="eastAsia"/>
        </w:rPr>
        <w:t xml:space="preserve">for </w:t>
      </w:r>
      <w:r w:rsidR="00683A3E">
        <w:rPr>
          <w:rFonts w:ascii="Times New Roman" w:hAnsi="Times New Roman" w:cs="Times New Roman"/>
        </w:rPr>
        <w:t>South</w:t>
      </w:r>
      <w:r w:rsidR="001C0278">
        <w:rPr>
          <w:rFonts w:ascii="Times New Roman" w:hAnsi="Times New Roman" w:cs="Times New Roman" w:hint="eastAsia"/>
        </w:rPr>
        <w:t xml:space="preserve"> Korea MERS outbreak from 5/11 to 6/14</w:t>
      </w:r>
      <w:r w:rsidR="00AA4EF2">
        <w:rPr>
          <w:rFonts w:ascii="Times New Roman" w:hAnsi="Times New Roman" w:cs="Times New Roman" w:hint="eastAsia"/>
        </w:rPr>
        <w:t xml:space="preserve">, using the cumulative number of daily </w:t>
      </w:r>
      <w:r w:rsidR="00AA4EF2">
        <w:rPr>
          <w:rFonts w:ascii="Times New Roman" w:hAnsi="Times New Roman" w:cs="Times New Roman"/>
        </w:rPr>
        <w:t>incidence</w:t>
      </w:r>
      <w:r w:rsidR="00AA4EF2">
        <w:rPr>
          <w:rFonts w:ascii="Times New Roman" w:hAnsi="Times New Roman" w:cs="Times New Roman" w:hint="eastAsia"/>
        </w:rPr>
        <w:t xml:space="preserve"> up to time t for </w:t>
      </w:r>
      <w:proofErr w:type="gramStart"/>
      <w:r w:rsidR="00AA4EF2" w:rsidRPr="00ED5079">
        <w:rPr>
          <w:rFonts w:ascii="Times New Roman" w:hAnsi="Times New Roman" w:cs="Times New Roman"/>
          <w:i/>
        </w:rPr>
        <w:t>C(</w:t>
      </w:r>
      <w:proofErr w:type="gramEnd"/>
      <w:r w:rsidR="00AA4EF2" w:rsidRPr="00ED5079">
        <w:rPr>
          <w:rFonts w:ascii="Times New Roman" w:hAnsi="Times New Roman" w:cs="Times New Roman"/>
          <w:i/>
        </w:rPr>
        <w:t>t)</w:t>
      </w:r>
      <w:r w:rsidR="00AA4EF2">
        <w:rPr>
          <w:rFonts w:ascii="Times New Roman" w:hAnsi="Times New Roman" w:cs="Times New Roman" w:hint="eastAsia"/>
        </w:rPr>
        <w:t>,</w:t>
      </w:r>
      <w:r w:rsidR="001C0278">
        <w:rPr>
          <w:rFonts w:ascii="Times New Roman" w:hAnsi="Times New Roman" w:cs="Times New Roman" w:hint="eastAsia"/>
        </w:rPr>
        <w:t xml:space="preserve"> </w:t>
      </w:r>
      <w:r w:rsidRPr="00C50BA4">
        <w:rPr>
          <w:rFonts w:ascii="Times New Roman" w:hAnsi="Times New Roman" w:cs="Times New Roman" w:hint="eastAsia"/>
        </w:rPr>
        <w:t xml:space="preserve">yields the following parameter </w:t>
      </w:r>
      <w:r w:rsidRPr="00C50BA4">
        <w:rPr>
          <w:rFonts w:ascii="Times New Roman" w:hAnsi="Times New Roman" w:cs="Times New Roman"/>
        </w:rPr>
        <w:t>estimates</w:t>
      </w:r>
      <w:r w:rsidRPr="00C50BA4">
        <w:rPr>
          <w:rFonts w:ascii="Times New Roman" w:hAnsi="Times New Roman" w:cs="Times New Roman" w:hint="eastAsia"/>
        </w:rPr>
        <w:t>:</w:t>
      </w:r>
    </w:p>
    <w:p w:rsidR="00683A3E" w:rsidRPr="00C50BA4" w:rsidRDefault="00683A3E" w:rsidP="00195B56">
      <w:pPr>
        <w:rPr>
          <w:rFonts w:ascii="Times New Roman" w:hAnsi="Times New Roman" w:cs="Times New Roman"/>
        </w:rPr>
      </w:pPr>
    </w:p>
    <w:p w:rsidR="00195B56" w:rsidRDefault="007302E1" w:rsidP="00195B56">
      <w:pPr>
        <w:rPr>
          <w:rFonts w:ascii="Times New Roman" w:hAnsi="Times New Roman" w:cs="Times New Roman" w:hint="eastAsia"/>
        </w:rPr>
      </w:pPr>
      <w:r w:rsidRPr="00B814E2">
        <w:rPr>
          <w:rFonts w:ascii="Times New Roman" w:hAnsi="Times New Roman" w:cs="Times New Roman" w:hint="eastAsia"/>
          <w:b/>
        </w:rPr>
        <w:t>Table S2</w:t>
      </w:r>
      <w:r w:rsidR="00683A3E">
        <w:rPr>
          <w:rFonts w:ascii="Times New Roman" w:hAnsi="Times New Roman" w:cs="Times New Roman" w:hint="eastAsia"/>
        </w:rPr>
        <w:t>. E</w:t>
      </w:r>
      <w:r w:rsidR="00683A3E" w:rsidRPr="00CC5CD8">
        <w:rPr>
          <w:rFonts w:ascii="Times New Roman" w:hAnsi="Times New Roman" w:cs="Times New Roman"/>
        </w:rPr>
        <w:t xml:space="preserve">stimated parameter values </w:t>
      </w:r>
      <w:r w:rsidR="00683A3E">
        <w:rPr>
          <w:rFonts w:ascii="Times New Roman" w:hAnsi="Times New Roman" w:cs="Times New Roman"/>
        </w:rPr>
        <w:t xml:space="preserve">for model fit of </w:t>
      </w:r>
      <w:r w:rsidR="00683A3E">
        <w:rPr>
          <w:rFonts w:ascii="Times New Roman" w:hAnsi="Times New Roman" w:cs="Times New Roman" w:hint="eastAsia"/>
        </w:rPr>
        <w:t>daily incidence</w:t>
      </w:r>
      <w:r w:rsidR="00683A3E" w:rsidRPr="00CC5CD8">
        <w:rPr>
          <w:rFonts w:ascii="Times New Roman" w:hAnsi="Times New Roman" w:cs="Times New Roman"/>
        </w:rPr>
        <w:t xml:space="preserve"> data by onset date, 5/11-6/1</w:t>
      </w:r>
      <w:r w:rsidR="00683A3E">
        <w:rPr>
          <w:rFonts w:ascii="Times New Roman" w:hAnsi="Times New Roman" w:cs="Times New Roman" w:hint="eastAsia"/>
        </w:rPr>
        <w:t>4</w:t>
      </w:r>
      <w:r w:rsidR="00683A3E" w:rsidRPr="00CC5CD8">
        <w:rPr>
          <w:rFonts w:ascii="Times New Roman" w:hAnsi="Times New Roman" w:cs="Times New Roman"/>
        </w:rPr>
        <w:t xml:space="preserve">, 2015, </w:t>
      </w:r>
      <w:r w:rsidR="00E33BDD">
        <w:rPr>
          <w:rFonts w:ascii="Times New Roman" w:hAnsi="Times New Roman" w:cs="Times New Roman" w:hint="eastAsia"/>
        </w:rPr>
        <w:t xml:space="preserve">for </w:t>
      </w:r>
      <w:r w:rsidR="00683A3E" w:rsidRPr="00CC5CD8">
        <w:rPr>
          <w:rFonts w:ascii="Times New Roman" w:hAnsi="Times New Roman" w:cs="Times New Roman"/>
        </w:rPr>
        <w:t>a total of 16</w:t>
      </w:r>
      <w:r w:rsidR="00683A3E">
        <w:rPr>
          <w:rFonts w:ascii="Times New Roman" w:hAnsi="Times New Roman" w:cs="Times New Roman" w:hint="eastAsia"/>
        </w:rPr>
        <w:t>6</w:t>
      </w:r>
      <w:r w:rsidR="00683A3E" w:rsidRPr="00CC5CD8">
        <w:rPr>
          <w:rFonts w:ascii="Times New Roman" w:hAnsi="Times New Roman" w:cs="Times New Roman"/>
        </w:rPr>
        <w:t xml:space="preserve"> reported cases, to the Richards model. The 95% CIs of the estimates are given in parenthesis.</w:t>
      </w:r>
    </w:p>
    <w:tbl>
      <w:tblPr>
        <w:tblStyle w:val="TableGrid1"/>
        <w:tblW w:w="4440" w:type="pct"/>
        <w:jc w:val="center"/>
        <w:tblInd w:w="-8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74"/>
        <w:gridCol w:w="1427"/>
        <w:gridCol w:w="1984"/>
        <w:gridCol w:w="1417"/>
      </w:tblGrid>
      <w:tr w:rsidR="00F60438" w:rsidRPr="00F60438" w:rsidTr="00ED5079">
        <w:trPr>
          <w:trHeight w:val="730"/>
          <w:jc w:val="center"/>
        </w:trPr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Time Period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Growth rate</w:t>
            </w:r>
          </w:p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r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Case number K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  <w:vertAlign w:val="subscript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Basic reproduction number R</w:t>
            </w:r>
            <w:r w:rsidRPr="00F60438">
              <w:rPr>
                <w:rFonts w:ascii="Times New Roman" w:eastAsia="新細明體" w:hAnsi="Times New Roman"/>
                <w:sz w:val="22"/>
                <w:vertAlign w:val="subscript"/>
              </w:rPr>
              <w:t>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Exponent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 xml:space="preserve"> of deviation a</w:t>
            </w:r>
          </w:p>
        </w:tc>
      </w:tr>
      <w:tr w:rsidR="00F60438" w:rsidRPr="00F60438" w:rsidTr="00ED5079">
        <w:trPr>
          <w:trHeight w:val="560"/>
          <w:jc w:val="center"/>
        </w:trPr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5/11-6/14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0.19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0</w:t>
            </w:r>
            <w:r w:rsidRPr="00F60438">
              <w:rPr>
                <w:rFonts w:ascii="Times New Roman" w:eastAsia="新細明體" w:hAnsi="Times New Roman"/>
                <w:sz w:val="22"/>
              </w:rPr>
              <w:t xml:space="preserve"> (0.1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21</w:t>
            </w:r>
            <w:r w:rsidRPr="00F60438">
              <w:rPr>
                <w:rFonts w:ascii="Times New Roman" w:eastAsia="新細明體" w:hAnsi="Times New Roman"/>
                <w:sz w:val="22"/>
              </w:rPr>
              <w:t>~0.2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59</w:t>
            </w:r>
            <w:r w:rsidRPr="00F60438">
              <w:rPr>
                <w:rFonts w:ascii="Times New Roman" w:eastAsia="新細明體" w:hAnsi="Times New Roman"/>
                <w:sz w:val="22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1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71</w:t>
            </w:r>
          </w:p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  <w:sz w:val="22"/>
              </w:rPr>
              <w:t>(16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1</w:t>
            </w:r>
            <w:r w:rsidRPr="00F60438">
              <w:rPr>
                <w:rFonts w:ascii="Times New Roman" w:eastAsia="新細明體" w:hAnsi="Times New Roman"/>
                <w:sz w:val="22"/>
              </w:rPr>
              <w:t>~1</w:t>
            </w:r>
            <w:r w:rsidRPr="00F60438">
              <w:rPr>
                <w:rFonts w:ascii="Times New Roman" w:eastAsia="新細明體" w:hAnsi="Times New Roman" w:hint="eastAsia"/>
                <w:sz w:val="22"/>
              </w:rPr>
              <w:t>81</w:t>
            </w:r>
            <w:r w:rsidRPr="00F60438">
              <w:rPr>
                <w:rFonts w:ascii="Times New Roman" w:eastAsia="新細明體" w:hAnsi="Times New Roman"/>
                <w:sz w:val="22"/>
              </w:rPr>
              <w:t>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</w:rPr>
            </w:pPr>
            <w:r w:rsidRPr="00F60438">
              <w:rPr>
                <w:rFonts w:ascii="Times New Roman" w:eastAsia="新細明體" w:hAnsi="Times New Roman"/>
              </w:rPr>
              <w:t>1</w:t>
            </w:r>
            <w:r w:rsidRPr="00F60438">
              <w:rPr>
                <w:rFonts w:ascii="Times New Roman" w:eastAsia="新細明體" w:hAnsi="Times New Roman" w:hint="eastAsia"/>
              </w:rPr>
              <w:t>1.0</w:t>
            </w:r>
          </w:p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  <w:sz w:val="22"/>
              </w:rPr>
            </w:pPr>
            <w:r w:rsidRPr="00F60438">
              <w:rPr>
                <w:rFonts w:ascii="Times New Roman" w:eastAsia="新細明體" w:hAnsi="Times New Roman"/>
              </w:rPr>
              <w:t>(</w:t>
            </w:r>
            <w:r w:rsidRPr="00F60438">
              <w:rPr>
                <w:rFonts w:ascii="Times New Roman" w:eastAsia="新細明體" w:hAnsi="Times New Roman" w:hint="eastAsia"/>
              </w:rPr>
              <w:t>4.3</w:t>
            </w:r>
            <w:r w:rsidRPr="00F60438">
              <w:rPr>
                <w:rFonts w:ascii="Times New Roman" w:eastAsia="新細明體" w:hAnsi="Times New Roman"/>
              </w:rPr>
              <w:t>~</w:t>
            </w:r>
            <w:r w:rsidRPr="00F60438">
              <w:rPr>
                <w:rFonts w:ascii="Times New Roman" w:eastAsia="新細明體" w:hAnsi="Times New Roman" w:hint="eastAsia"/>
              </w:rPr>
              <w:t>29.8</w:t>
            </w:r>
            <w:r w:rsidRPr="00F60438">
              <w:rPr>
                <w:rFonts w:ascii="Times New Roman" w:eastAsia="新細明體" w:hAnsi="Times New Roman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38" w:rsidRPr="00F60438" w:rsidRDefault="00F60438" w:rsidP="00F60438">
            <w:pPr>
              <w:jc w:val="center"/>
              <w:rPr>
                <w:rFonts w:ascii="Times New Roman" w:eastAsia="新細明體" w:hAnsi="Times New Roman"/>
              </w:rPr>
            </w:pPr>
            <w:r w:rsidRPr="00F60438">
              <w:rPr>
                <w:rFonts w:ascii="Times New Roman" w:eastAsia="新細明體" w:hAnsi="Times New Roman" w:hint="eastAsia"/>
              </w:rPr>
              <w:t>1.86 (0.49~3.24)</w:t>
            </w:r>
          </w:p>
        </w:tc>
      </w:tr>
    </w:tbl>
    <w:p w:rsidR="00195B56" w:rsidRPr="00C50BA4" w:rsidRDefault="00195B56" w:rsidP="00195B56">
      <w:pPr>
        <w:rPr>
          <w:rFonts w:ascii="Times New Roman" w:hAnsi="Times New Roman" w:cs="Times New Roman"/>
        </w:rPr>
      </w:pPr>
    </w:p>
    <w:p w:rsidR="004467E9" w:rsidRDefault="00195B56" w:rsidP="00195B56">
      <w:pPr>
        <w:rPr>
          <w:rFonts w:ascii="Times New Roman" w:hAnsi="Times New Roman" w:cs="Times New Roman"/>
        </w:rPr>
      </w:pPr>
      <w:r w:rsidRPr="00C50BA4">
        <w:rPr>
          <w:rFonts w:ascii="Times New Roman" w:hAnsi="Times New Roman" w:cs="Times New Roman" w:hint="eastAsia"/>
        </w:rPr>
        <w:t xml:space="preserve">The figure </w:t>
      </w:r>
      <w:r w:rsidR="00E33BDD">
        <w:rPr>
          <w:rFonts w:ascii="Times New Roman" w:hAnsi="Times New Roman" w:cs="Times New Roman" w:hint="eastAsia"/>
        </w:rPr>
        <w:t xml:space="preserve">for the </w:t>
      </w:r>
      <w:r w:rsidRPr="00C50BA4">
        <w:rPr>
          <w:rFonts w:ascii="Times New Roman" w:hAnsi="Times New Roman" w:cs="Times New Roman" w:hint="eastAsia"/>
        </w:rPr>
        <w:t>data fitting is given below</w:t>
      </w:r>
      <w:r w:rsidR="00971915">
        <w:rPr>
          <w:rFonts w:ascii="Times New Roman" w:hAnsi="Times New Roman" w:cs="Times New Roman" w:hint="eastAsia"/>
        </w:rPr>
        <w:t xml:space="preserve"> in Figure S1</w:t>
      </w:r>
      <w:r w:rsidR="004467E9">
        <w:rPr>
          <w:rFonts w:ascii="Times New Roman" w:hAnsi="Times New Roman" w:cs="Times New Roman" w:hint="eastAsia"/>
        </w:rPr>
        <w:t xml:space="preserve">. </w:t>
      </w:r>
    </w:p>
    <w:p w:rsidR="004467E9" w:rsidRDefault="004467E9" w:rsidP="00195B56">
      <w:pPr>
        <w:rPr>
          <w:rFonts w:ascii="Times New Roman" w:hAnsi="Times New Roman" w:cs="Times New Roman"/>
        </w:rPr>
      </w:pPr>
    </w:p>
    <w:p w:rsidR="00195B56" w:rsidRPr="00C50BA4" w:rsidRDefault="004467E9" w:rsidP="00195B56">
      <w:pPr>
        <w:rPr>
          <w:rFonts w:ascii="Times New Roman" w:hAnsi="Times New Roman" w:cs="Times New Roman"/>
        </w:rPr>
      </w:pPr>
      <w:r w:rsidRPr="00B814E2">
        <w:rPr>
          <w:rFonts w:ascii="Times New Roman" w:hAnsi="Times New Roman" w:cs="Times New Roman"/>
          <w:b/>
        </w:rPr>
        <w:t xml:space="preserve">Figure </w:t>
      </w:r>
      <w:r w:rsidRPr="00B814E2">
        <w:rPr>
          <w:rFonts w:ascii="Times New Roman" w:hAnsi="Times New Roman" w:cs="Times New Roman" w:hint="eastAsia"/>
          <w:b/>
        </w:rPr>
        <w:t>S</w:t>
      </w:r>
      <w:r w:rsidRPr="00B814E2">
        <w:rPr>
          <w:rFonts w:ascii="Times New Roman" w:hAnsi="Times New Roman" w:cs="Times New Roman"/>
          <w:b/>
        </w:rPr>
        <w:t>1</w:t>
      </w:r>
      <w:r w:rsidRPr="004467E9">
        <w:rPr>
          <w:rFonts w:ascii="Times New Roman" w:hAnsi="Times New Roman" w:cs="Times New Roman"/>
        </w:rPr>
        <w:t xml:space="preserve">. Model fit of the Richards model </w:t>
      </w:r>
      <w:r w:rsidR="00FC099B">
        <w:rPr>
          <w:rFonts w:ascii="Times New Roman" w:hAnsi="Times New Roman" w:cs="Times New Roman" w:hint="eastAsia"/>
        </w:rPr>
        <w:t>in differential equation form</w:t>
      </w:r>
      <w:bookmarkStart w:id="0" w:name="_GoBack"/>
      <w:bookmarkEnd w:id="0"/>
      <w:r w:rsidR="00FC099B">
        <w:rPr>
          <w:rFonts w:ascii="Times New Roman" w:hAnsi="Times New Roman" w:cs="Times New Roman" w:hint="eastAsia"/>
        </w:rPr>
        <w:t xml:space="preserve"> </w:t>
      </w:r>
      <w:r w:rsidRPr="004467E9">
        <w:rPr>
          <w:rFonts w:ascii="Times New Roman" w:hAnsi="Times New Roman" w:cs="Times New Roman"/>
        </w:rPr>
        <w:t xml:space="preserve">to reported </w:t>
      </w:r>
      <w:r w:rsidR="00757268">
        <w:rPr>
          <w:rFonts w:ascii="Times New Roman" w:hAnsi="Times New Roman" w:cs="Times New Roman" w:hint="eastAsia"/>
        </w:rPr>
        <w:t xml:space="preserve">daily </w:t>
      </w:r>
      <w:r w:rsidR="00757268">
        <w:rPr>
          <w:rFonts w:ascii="Times New Roman" w:hAnsi="Times New Roman" w:cs="Times New Roman"/>
        </w:rPr>
        <w:t xml:space="preserve">MERS </w:t>
      </w:r>
      <w:r w:rsidR="00757268">
        <w:rPr>
          <w:rFonts w:ascii="Times New Roman" w:hAnsi="Times New Roman" w:cs="Times New Roman" w:hint="eastAsia"/>
        </w:rPr>
        <w:t>incidence</w:t>
      </w:r>
      <w:r w:rsidRPr="004467E9">
        <w:rPr>
          <w:rFonts w:ascii="Times New Roman" w:hAnsi="Times New Roman" w:cs="Times New Roman"/>
        </w:rPr>
        <w:t xml:space="preserve"> data by onset date in South Korea, May 11-June 16,</w:t>
      </w:r>
      <w:r w:rsidR="00757268">
        <w:rPr>
          <w:rFonts w:ascii="Times New Roman" w:hAnsi="Times New Roman" w:cs="Times New Roman"/>
        </w:rPr>
        <w:t xml:space="preserve"> 2015</w:t>
      </w:r>
      <w:r w:rsidR="00195B56" w:rsidRPr="00C50BA4">
        <w:rPr>
          <w:rFonts w:ascii="Times New Roman" w:hAnsi="Times New Roman" w:cs="Times New Roman" w:hint="eastAsia"/>
        </w:rPr>
        <w:t xml:space="preserve">, where the red </w:t>
      </w:r>
      <w:r w:rsidR="00195B56" w:rsidRPr="00C50BA4">
        <w:rPr>
          <w:rFonts w:ascii="Times New Roman" w:hAnsi="Times New Roman" w:cs="Times New Roman"/>
        </w:rPr>
        <w:t>triangles</w:t>
      </w:r>
      <w:r w:rsidR="00195B56" w:rsidRPr="00C50BA4">
        <w:rPr>
          <w:rFonts w:ascii="Times New Roman" w:hAnsi="Times New Roman" w:cs="Times New Roman" w:hint="eastAsia"/>
        </w:rPr>
        <w:t xml:space="preserve"> are the daily incidence data and black dots are the model-predicted numbers:</w:t>
      </w:r>
    </w:p>
    <w:p w:rsidR="00195B56" w:rsidRPr="00C50BA4" w:rsidRDefault="00195B56" w:rsidP="00195B56">
      <w:pPr>
        <w:jc w:val="center"/>
        <w:rPr>
          <w:rFonts w:ascii="Times New Roman" w:hAnsi="Times New Roman" w:cs="Times New Roman"/>
        </w:rPr>
      </w:pPr>
      <w:r w:rsidRPr="00C50BA4">
        <w:rPr>
          <w:rFonts w:ascii="Times New Roman" w:hAnsi="Times New Roman" w:cs="Times New Roman"/>
          <w:noProof/>
        </w:rPr>
        <w:drawing>
          <wp:inline distT="0" distB="0" distL="0" distR="0" wp14:anchorId="16ABA086" wp14:editId="5139F4D1">
            <wp:extent cx="4152900" cy="2119313"/>
            <wp:effectExtent l="0" t="0" r="19050" b="146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B56" w:rsidRPr="00C50BA4" w:rsidRDefault="00195B56"/>
    <w:sectPr w:rsidR="00195B56" w:rsidRPr="00C50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56"/>
    <w:rsid w:val="00195B56"/>
    <w:rsid w:val="001A6B21"/>
    <w:rsid w:val="001C0278"/>
    <w:rsid w:val="002E2F71"/>
    <w:rsid w:val="00305526"/>
    <w:rsid w:val="004467E9"/>
    <w:rsid w:val="0056141A"/>
    <w:rsid w:val="00623A27"/>
    <w:rsid w:val="00683A3E"/>
    <w:rsid w:val="007302E1"/>
    <w:rsid w:val="00757268"/>
    <w:rsid w:val="007A4C86"/>
    <w:rsid w:val="00966A73"/>
    <w:rsid w:val="00971915"/>
    <w:rsid w:val="00AA4EF2"/>
    <w:rsid w:val="00AF57ED"/>
    <w:rsid w:val="00B814E2"/>
    <w:rsid w:val="00BC76DC"/>
    <w:rsid w:val="00C50BA4"/>
    <w:rsid w:val="00D86859"/>
    <w:rsid w:val="00E33BDD"/>
    <w:rsid w:val="00ED5079"/>
    <w:rsid w:val="00F60438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5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5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6043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5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5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6043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onset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26"/>
            <c:bubble3D val="0"/>
          </c:dPt>
          <c:cat>
            <c:numRef>
              <c:f>工作表1!$A$2:$A$37</c:f>
              <c:numCache>
                <c:formatCode>m/d;@</c:formatCode>
                <c:ptCount val="36"/>
                <c:pt idx="0">
                  <c:v>42134</c:v>
                </c:pt>
                <c:pt idx="1">
                  <c:v>42135</c:v>
                </c:pt>
                <c:pt idx="2">
                  <c:v>42136</c:v>
                </c:pt>
                <c:pt idx="3">
                  <c:v>42137</c:v>
                </c:pt>
                <c:pt idx="4">
                  <c:v>42138</c:v>
                </c:pt>
                <c:pt idx="5">
                  <c:v>42139</c:v>
                </c:pt>
                <c:pt idx="6">
                  <c:v>42140</c:v>
                </c:pt>
                <c:pt idx="7">
                  <c:v>42141</c:v>
                </c:pt>
                <c:pt idx="8">
                  <c:v>42142</c:v>
                </c:pt>
                <c:pt idx="9">
                  <c:v>42143</c:v>
                </c:pt>
                <c:pt idx="10">
                  <c:v>42144</c:v>
                </c:pt>
                <c:pt idx="11">
                  <c:v>42145</c:v>
                </c:pt>
                <c:pt idx="12">
                  <c:v>42146</c:v>
                </c:pt>
                <c:pt idx="13">
                  <c:v>42147</c:v>
                </c:pt>
                <c:pt idx="14">
                  <c:v>42148</c:v>
                </c:pt>
                <c:pt idx="15">
                  <c:v>42149</c:v>
                </c:pt>
                <c:pt idx="16">
                  <c:v>42150</c:v>
                </c:pt>
                <c:pt idx="17">
                  <c:v>42151</c:v>
                </c:pt>
                <c:pt idx="18">
                  <c:v>42152</c:v>
                </c:pt>
                <c:pt idx="19">
                  <c:v>42153</c:v>
                </c:pt>
                <c:pt idx="20">
                  <c:v>42154</c:v>
                </c:pt>
                <c:pt idx="21">
                  <c:v>42155</c:v>
                </c:pt>
                <c:pt idx="22">
                  <c:v>42156</c:v>
                </c:pt>
                <c:pt idx="23">
                  <c:v>42157</c:v>
                </c:pt>
                <c:pt idx="24">
                  <c:v>42158</c:v>
                </c:pt>
                <c:pt idx="25">
                  <c:v>42159</c:v>
                </c:pt>
                <c:pt idx="26">
                  <c:v>42160</c:v>
                </c:pt>
                <c:pt idx="27">
                  <c:v>42161</c:v>
                </c:pt>
                <c:pt idx="28">
                  <c:v>42162</c:v>
                </c:pt>
                <c:pt idx="29">
                  <c:v>42163</c:v>
                </c:pt>
                <c:pt idx="30">
                  <c:v>42164</c:v>
                </c:pt>
                <c:pt idx="31">
                  <c:v>42165</c:v>
                </c:pt>
                <c:pt idx="32">
                  <c:v>42166</c:v>
                </c:pt>
                <c:pt idx="33">
                  <c:v>42167</c:v>
                </c:pt>
                <c:pt idx="34">
                  <c:v>42168</c:v>
                </c:pt>
                <c:pt idx="35">
                  <c:v>42169</c:v>
                </c:pt>
              </c:numCache>
            </c:numRef>
          </c:cat>
          <c:val>
            <c:numRef>
              <c:f>工作表1!$B$2:$B$37</c:f>
              <c:numCache>
                <c:formatCode>General</c:formatCode>
                <c:ptCount val="36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3</c:v>
                </c:pt>
                <c:pt idx="20">
                  <c:v>8</c:v>
                </c:pt>
                <c:pt idx="21">
                  <c:v>9</c:v>
                </c:pt>
                <c:pt idx="22">
                  <c:v>20</c:v>
                </c:pt>
                <c:pt idx="23">
                  <c:v>14</c:v>
                </c:pt>
                <c:pt idx="24">
                  <c:v>11</c:v>
                </c:pt>
                <c:pt idx="25">
                  <c:v>12</c:v>
                </c:pt>
                <c:pt idx="26">
                  <c:v>11</c:v>
                </c:pt>
                <c:pt idx="27">
                  <c:v>9</c:v>
                </c:pt>
                <c:pt idx="28">
                  <c:v>6</c:v>
                </c:pt>
                <c:pt idx="29">
                  <c:v>8</c:v>
                </c:pt>
                <c:pt idx="30">
                  <c:v>3</c:v>
                </c:pt>
                <c:pt idx="31">
                  <c:v>9</c:v>
                </c:pt>
                <c:pt idx="32">
                  <c:v>5</c:v>
                </c:pt>
                <c:pt idx="33">
                  <c:v>3</c:v>
                </c:pt>
                <c:pt idx="34">
                  <c:v>3</c:v>
                </c:pt>
                <c:pt idx="35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C(t)5/11~6/14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2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cat>
            <c:numRef>
              <c:f>工作表1!$A$2:$A$37</c:f>
              <c:numCache>
                <c:formatCode>m/d;@</c:formatCode>
                <c:ptCount val="36"/>
                <c:pt idx="0">
                  <c:v>42134</c:v>
                </c:pt>
                <c:pt idx="1">
                  <c:v>42135</c:v>
                </c:pt>
                <c:pt idx="2">
                  <c:v>42136</c:v>
                </c:pt>
                <c:pt idx="3">
                  <c:v>42137</c:v>
                </c:pt>
                <c:pt idx="4">
                  <c:v>42138</c:v>
                </c:pt>
                <c:pt idx="5">
                  <c:v>42139</c:v>
                </c:pt>
                <c:pt idx="6">
                  <c:v>42140</c:v>
                </c:pt>
                <c:pt idx="7">
                  <c:v>42141</c:v>
                </c:pt>
                <c:pt idx="8">
                  <c:v>42142</c:v>
                </c:pt>
                <c:pt idx="9">
                  <c:v>42143</c:v>
                </c:pt>
                <c:pt idx="10">
                  <c:v>42144</c:v>
                </c:pt>
                <c:pt idx="11">
                  <c:v>42145</c:v>
                </c:pt>
                <c:pt idx="12">
                  <c:v>42146</c:v>
                </c:pt>
                <c:pt idx="13">
                  <c:v>42147</c:v>
                </c:pt>
                <c:pt idx="14">
                  <c:v>42148</c:v>
                </c:pt>
                <c:pt idx="15">
                  <c:v>42149</c:v>
                </c:pt>
                <c:pt idx="16">
                  <c:v>42150</c:v>
                </c:pt>
                <c:pt idx="17">
                  <c:v>42151</c:v>
                </c:pt>
                <c:pt idx="18">
                  <c:v>42152</c:v>
                </c:pt>
                <c:pt idx="19">
                  <c:v>42153</c:v>
                </c:pt>
                <c:pt idx="20">
                  <c:v>42154</c:v>
                </c:pt>
                <c:pt idx="21">
                  <c:v>42155</c:v>
                </c:pt>
                <c:pt idx="22">
                  <c:v>42156</c:v>
                </c:pt>
                <c:pt idx="23">
                  <c:v>42157</c:v>
                </c:pt>
                <c:pt idx="24">
                  <c:v>42158</c:v>
                </c:pt>
                <c:pt idx="25">
                  <c:v>42159</c:v>
                </c:pt>
                <c:pt idx="26">
                  <c:v>42160</c:v>
                </c:pt>
                <c:pt idx="27">
                  <c:v>42161</c:v>
                </c:pt>
                <c:pt idx="28">
                  <c:v>42162</c:v>
                </c:pt>
                <c:pt idx="29">
                  <c:v>42163</c:v>
                </c:pt>
                <c:pt idx="30">
                  <c:v>42164</c:v>
                </c:pt>
                <c:pt idx="31">
                  <c:v>42165</c:v>
                </c:pt>
                <c:pt idx="32">
                  <c:v>42166</c:v>
                </c:pt>
                <c:pt idx="33">
                  <c:v>42167</c:v>
                </c:pt>
                <c:pt idx="34">
                  <c:v>42168</c:v>
                </c:pt>
                <c:pt idx="35">
                  <c:v>42169</c:v>
                </c:pt>
              </c:numCache>
            </c:numRef>
          </c:cat>
          <c:val>
            <c:numRef>
              <c:f>工作表1!$C$2:$C$37</c:f>
              <c:numCache>
                <c:formatCode>General</c:formatCode>
                <c:ptCount val="36"/>
                <c:pt idx="1">
                  <c:v>0.18998698515037216</c:v>
                </c:pt>
                <c:pt idx="2">
                  <c:v>0.18998698515037216</c:v>
                </c:pt>
                <c:pt idx="3">
                  <c:v>0.18998698515037216</c:v>
                </c:pt>
                <c:pt idx="4">
                  <c:v>0.18998698515037216</c:v>
                </c:pt>
                <c:pt idx="5">
                  <c:v>0.18998698515037216</c:v>
                </c:pt>
                <c:pt idx="6">
                  <c:v>0.18998698515037216</c:v>
                </c:pt>
                <c:pt idx="7">
                  <c:v>0.18998698515037216</c:v>
                </c:pt>
                <c:pt idx="8">
                  <c:v>0.18998698515037216</c:v>
                </c:pt>
                <c:pt idx="9">
                  <c:v>0.56969706891711158</c:v>
                </c:pt>
                <c:pt idx="10">
                  <c:v>1.7029490356320516</c:v>
                </c:pt>
                <c:pt idx="11">
                  <c:v>2.4497802647541365</c:v>
                </c:pt>
                <c:pt idx="12">
                  <c:v>2.8195334693062386</c:v>
                </c:pt>
                <c:pt idx="13">
                  <c:v>3.5500291304363603</c:v>
                </c:pt>
                <c:pt idx="14">
                  <c:v>3.9101150050333162</c:v>
                </c:pt>
                <c:pt idx="15">
                  <c:v>4.6183570864812067</c:v>
                </c:pt>
                <c:pt idx="16">
                  <c:v>4.9658831386861282</c:v>
                </c:pt>
                <c:pt idx="17">
                  <c:v>5.4780557810380408</c:v>
                </c:pt>
                <c:pt idx="18">
                  <c:v>5.6461957503531828</c:v>
                </c:pt>
                <c:pt idx="19">
                  <c:v>6.142332266725866</c:v>
                </c:pt>
                <c:pt idx="20">
                  <c:v>7.3980494985505141</c:v>
                </c:pt>
                <c:pt idx="21">
                  <c:v>8.6750212443826413</c:v>
                </c:pt>
                <c:pt idx="22">
                  <c:v>10.871158599567925</c:v>
                </c:pt>
                <c:pt idx="23">
                  <c:v>11.764375594904594</c:v>
                </c:pt>
                <c:pt idx="24">
                  <c:v>12.024901582022885</c:v>
                </c:pt>
                <c:pt idx="25">
                  <c:v>11.810466944690607</c:v>
                </c:pt>
                <c:pt idx="26">
                  <c:v>11.110640685073115</c:v>
                </c:pt>
                <c:pt idx="27">
                  <c:v>10.149505797650749</c:v>
                </c:pt>
                <c:pt idx="28">
                  <c:v>9.3022199657849534</c:v>
                </c:pt>
                <c:pt idx="29">
                  <c:v>7.9021235247780757</c:v>
                </c:pt>
                <c:pt idx="30">
                  <c:v>7.2945290928653099</c:v>
                </c:pt>
                <c:pt idx="31">
                  <c:v>5.1904889646545636</c:v>
                </c:pt>
                <c:pt idx="32">
                  <c:v>3.8332200546892565</c:v>
                </c:pt>
                <c:pt idx="33">
                  <c:v>2.9522098389588334</c:v>
                </c:pt>
                <c:pt idx="34">
                  <c:v>2.0202131742128513</c:v>
                </c:pt>
                <c:pt idx="35">
                  <c:v>1.6980762670730121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43296"/>
        <c:axId val="118145024"/>
      </c:lineChart>
      <c:dateAx>
        <c:axId val="92343296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18145024"/>
        <c:crosses val="autoZero"/>
        <c:auto val="1"/>
        <c:lblOffset val="100"/>
        <c:baseTimeUnit val="days"/>
        <c:majorUnit val="5"/>
        <c:majorTimeUnit val="days"/>
      </c:dateAx>
      <c:valAx>
        <c:axId val="1181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92343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2015-11-21T01:07:00Z</dcterms:created>
  <dcterms:modified xsi:type="dcterms:W3CDTF">2015-11-21T01:07:00Z</dcterms:modified>
</cp:coreProperties>
</file>