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85AE2" w14:textId="7F0E6F9C" w:rsidR="00371E84" w:rsidRDefault="00371E84" w:rsidP="00371E84">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b/>
          <w:bCs/>
        </w:rPr>
        <w:t xml:space="preserve">Supplementary Table </w:t>
      </w:r>
      <w:r w:rsidR="003D36ED">
        <w:rPr>
          <w:rFonts w:ascii="Times New Roman"/>
          <w:b/>
          <w:bCs/>
        </w:rPr>
        <w:t>S</w:t>
      </w:r>
      <w:r>
        <w:rPr>
          <w:rFonts w:ascii="Times New Roman"/>
          <w:b/>
          <w:bCs/>
        </w:rPr>
        <w:t>1 |</w:t>
      </w:r>
      <w:r>
        <w:rPr>
          <w:rFonts w:ascii="Times New Roman"/>
        </w:rPr>
        <w:t xml:space="preserve"> Shotgun sequencing statistics for</w:t>
      </w:r>
      <w:r>
        <w:rPr>
          <w:rFonts w:ascii="Times New Roman"/>
          <w:b/>
          <w:bCs/>
        </w:rPr>
        <w:t xml:space="preserve"> </w:t>
      </w:r>
      <w:r>
        <w:rPr>
          <w:rFonts w:ascii="Times New Roman"/>
        </w:rPr>
        <w:t>UASB samples used for differential coverage banning, and relative representation of  KSB3 genomes in thee data.</w:t>
      </w:r>
    </w:p>
    <w:tbl>
      <w:tblPr>
        <w:tblStyle w:val="TableNormal"/>
        <w:tblW w:w="14550" w:type="dxa"/>
        <w:tblInd w:w="10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EFE"/>
        <w:tblLayout w:type="fixed"/>
        <w:tblLook w:val="04A0" w:firstRow="1" w:lastRow="0" w:firstColumn="1" w:lastColumn="0" w:noHBand="0" w:noVBand="1"/>
      </w:tblPr>
      <w:tblGrid>
        <w:gridCol w:w="1297"/>
        <w:gridCol w:w="2274"/>
        <w:gridCol w:w="2274"/>
        <w:gridCol w:w="1920"/>
        <w:gridCol w:w="1465"/>
        <w:gridCol w:w="1330"/>
        <w:gridCol w:w="1330"/>
        <w:gridCol w:w="1330"/>
        <w:gridCol w:w="1330"/>
      </w:tblGrid>
      <w:tr w:rsidR="00371E84" w14:paraId="69449E91" w14:textId="77777777" w:rsidTr="003606FC">
        <w:trPr>
          <w:trHeight w:val="550"/>
        </w:trPr>
        <w:tc>
          <w:tcPr>
            <w:tcW w:w="1296" w:type="dxa"/>
            <w:vMerge w:val="restart"/>
            <w:tcBorders>
              <w:top w:val="single" w:sz="8" w:space="0" w:color="000000"/>
              <w:left w:val="nil"/>
              <w:bottom w:val="single" w:sz="8" w:space="0" w:color="000000"/>
              <w:right w:val="nil"/>
            </w:tcBorders>
            <w:shd w:val="clear" w:color="auto" w:fill="D8D8D8"/>
            <w:tcMar>
              <w:top w:w="40" w:type="dxa"/>
              <w:left w:w="40" w:type="dxa"/>
              <w:bottom w:w="40" w:type="dxa"/>
              <w:right w:w="40" w:type="dxa"/>
            </w:tcMar>
            <w:vAlign w:val="center"/>
          </w:tcPr>
          <w:p w14:paraId="146385F7"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Samples</w:t>
            </w:r>
            <w:r>
              <w:rPr>
                <w:rFonts w:ascii="Arial"/>
                <w:sz w:val="18"/>
                <w:szCs w:val="18"/>
                <w:vertAlign w:val="superscript"/>
              </w:rPr>
              <w:t>a</w:t>
            </w:r>
          </w:p>
        </w:tc>
        <w:tc>
          <w:tcPr>
            <w:tcW w:w="2273" w:type="dxa"/>
            <w:vMerge w:val="restart"/>
            <w:tcBorders>
              <w:top w:val="single" w:sz="8" w:space="0" w:color="000000"/>
              <w:left w:val="nil"/>
              <w:bottom w:val="single" w:sz="8" w:space="0" w:color="000000"/>
              <w:right w:val="nil"/>
            </w:tcBorders>
            <w:shd w:val="clear" w:color="auto" w:fill="D8D8D8"/>
            <w:tcMar>
              <w:top w:w="40" w:type="dxa"/>
              <w:left w:w="40" w:type="dxa"/>
              <w:bottom w:w="40" w:type="dxa"/>
              <w:right w:w="40" w:type="dxa"/>
            </w:tcMar>
            <w:vAlign w:val="center"/>
          </w:tcPr>
          <w:p w14:paraId="491723EE"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 xml:space="preserve">Description </w:t>
            </w:r>
          </w:p>
        </w:tc>
        <w:tc>
          <w:tcPr>
            <w:tcW w:w="2273" w:type="dxa"/>
            <w:vMerge w:val="restart"/>
            <w:tcBorders>
              <w:top w:val="single" w:sz="8" w:space="0" w:color="000000"/>
              <w:left w:val="nil"/>
              <w:bottom w:val="single" w:sz="8" w:space="0" w:color="000000"/>
              <w:right w:val="nil"/>
            </w:tcBorders>
            <w:shd w:val="clear" w:color="auto" w:fill="D8D8D8"/>
            <w:tcMar>
              <w:top w:w="40" w:type="dxa"/>
              <w:left w:w="40" w:type="dxa"/>
              <w:bottom w:w="40" w:type="dxa"/>
              <w:right w:w="40" w:type="dxa"/>
            </w:tcMar>
            <w:vAlign w:val="center"/>
          </w:tcPr>
          <w:p w14:paraId="17CA3B14"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No. paired-end reads</w:t>
            </w:r>
            <w:r>
              <w:rPr>
                <w:rFonts w:ascii="Arial"/>
                <w:sz w:val="18"/>
                <w:szCs w:val="18"/>
                <w:vertAlign w:val="superscript"/>
              </w:rPr>
              <w:t>b</w:t>
            </w:r>
          </w:p>
        </w:tc>
        <w:tc>
          <w:tcPr>
            <w:tcW w:w="1919" w:type="dxa"/>
            <w:vMerge w:val="restart"/>
            <w:tcBorders>
              <w:top w:val="single" w:sz="8" w:space="0" w:color="000000"/>
              <w:left w:val="nil"/>
              <w:bottom w:val="single" w:sz="8" w:space="0" w:color="000000"/>
              <w:right w:val="nil"/>
            </w:tcBorders>
            <w:shd w:val="clear" w:color="auto" w:fill="D8D8D8"/>
            <w:tcMar>
              <w:top w:w="40" w:type="dxa"/>
              <w:left w:w="40" w:type="dxa"/>
              <w:bottom w:w="40" w:type="dxa"/>
              <w:right w:w="40" w:type="dxa"/>
            </w:tcMar>
            <w:vAlign w:val="center"/>
          </w:tcPr>
          <w:p w14:paraId="44492B08"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No. bases reads for paired-end sequencing (Gb)</w:t>
            </w:r>
            <w:r>
              <w:rPr>
                <w:rFonts w:ascii="Arial"/>
                <w:sz w:val="18"/>
                <w:szCs w:val="18"/>
                <w:vertAlign w:val="superscript"/>
              </w:rPr>
              <w:t>b</w:t>
            </w:r>
          </w:p>
        </w:tc>
        <w:tc>
          <w:tcPr>
            <w:tcW w:w="1465" w:type="dxa"/>
            <w:vMerge w:val="restart"/>
            <w:tcBorders>
              <w:top w:val="single" w:sz="8" w:space="0" w:color="000000"/>
              <w:left w:val="nil"/>
              <w:bottom w:val="single" w:sz="8" w:space="0" w:color="000000"/>
              <w:right w:val="nil"/>
            </w:tcBorders>
            <w:shd w:val="clear" w:color="auto" w:fill="D8D8D8"/>
            <w:tcMar>
              <w:top w:w="40" w:type="dxa"/>
              <w:left w:w="40" w:type="dxa"/>
              <w:bottom w:w="40" w:type="dxa"/>
              <w:right w:w="40" w:type="dxa"/>
            </w:tcMar>
            <w:vAlign w:val="center"/>
          </w:tcPr>
          <w:p w14:paraId="4604B7A9"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No. mate-pair reads</w:t>
            </w:r>
            <w:r>
              <w:rPr>
                <w:rFonts w:ascii="Arial"/>
                <w:sz w:val="18"/>
                <w:szCs w:val="18"/>
                <w:vertAlign w:val="superscript"/>
              </w:rPr>
              <w:t>b</w:t>
            </w:r>
          </w:p>
        </w:tc>
        <w:tc>
          <w:tcPr>
            <w:tcW w:w="2660" w:type="dxa"/>
            <w:gridSpan w:val="2"/>
            <w:tcBorders>
              <w:top w:val="single" w:sz="8" w:space="0" w:color="000000"/>
              <w:left w:val="nil"/>
              <w:bottom w:val="single" w:sz="8" w:space="0" w:color="000000"/>
              <w:right w:val="nil"/>
            </w:tcBorders>
            <w:shd w:val="clear" w:color="auto" w:fill="D8D8D8"/>
            <w:tcMar>
              <w:top w:w="40" w:type="dxa"/>
              <w:left w:w="40" w:type="dxa"/>
              <w:bottom w:w="40" w:type="dxa"/>
              <w:right w:w="40" w:type="dxa"/>
            </w:tcMar>
            <w:vAlign w:val="center"/>
          </w:tcPr>
          <w:p w14:paraId="3E069B7F"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lang w:val="fr-FR"/>
              </w:rPr>
              <w:t>UASB14 abundance %</w:t>
            </w:r>
            <w:r>
              <w:rPr>
                <w:rFonts w:ascii="Arial"/>
                <w:sz w:val="18"/>
                <w:szCs w:val="18"/>
                <w:vertAlign w:val="superscript"/>
              </w:rPr>
              <w:t>c</w:t>
            </w:r>
          </w:p>
        </w:tc>
        <w:tc>
          <w:tcPr>
            <w:tcW w:w="2660" w:type="dxa"/>
            <w:gridSpan w:val="2"/>
            <w:tcBorders>
              <w:top w:val="single" w:sz="8" w:space="0" w:color="000000"/>
              <w:left w:val="nil"/>
              <w:bottom w:val="single" w:sz="8" w:space="0" w:color="000000"/>
              <w:right w:val="nil"/>
            </w:tcBorders>
            <w:shd w:val="clear" w:color="auto" w:fill="D8D8D8"/>
            <w:tcMar>
              <w:top w:w="40" w:type="dxa"/>
              <w:left w:w="40" w:type="dxa"/>
              <w:bottom w:w="40" w:type="dxa"/>
              <w:right w:w="40" w:type="dxa"/>
            </w:tcMar>
            <w:vAlign w:val="center"/>
          </w:tcPr>
          <w:p w14:paraId="1E882D75"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lang w:val="fr-FR"/>
              </w:rPr>
              <w:t>UASB270 abundance %</w:t>
            </w:r>
            <w:r>
              <w:rPr>
                <w:rFonts w:ascii="Arial"/>
                <w:sz w:val="18"/>
                <w:szCs w:val="18"/>
                <w:vertAlign w:val="superscript"/>
              </w:rPr>
              <w:t>c</w:t>
            </w:r>
          </w:p>
        </w:tc>
      </w:tr>
      <w:tr w:rsidR="00371E84" w14:paraId="1EE32793" w14:textId="77777777" w:rsidTr="003606FC">
        <w:trPr>
          <w:trHeight w:val="620"/>
        </w:trPr>
        <w:tc>
          <w:tcPr>
            <w:tcW w:w="1296" w:type="dxa"/>
            <w:vMerge/>
            <w:tcBorders>
              <w:top w:val="single" w:sz="8" w:space="0" w:color="000000"/>
              <w:left w:val="nil"/>
              <w:bottom w:val="single" w:sz="8" w:space="0" w:color="000000"/>
              <w:right w:val="nil"/>
            </w:tcBorders>
            <w:shd w:val="clear" w:color="auto" w:fill="D8D8D8"/>
          </w:tcPr>
          <w:p w14:paraId="0884224E" w14:textId="77777777" w:rsidR="00371E84" w:rsidRDefault="00371E84" w:rsidP="003606FC"/>
        </w:tc>
        <w:tc>
          <w:tcPr>
            <w:tcW w:w="2273" w:type="dxa"/>
            <w:vMerge/>
            <w:tcBorders>
              <w:top w:val="single" w:sz="8" w:space="0" w:color="000000"/>
              <w:left w:val="nil"/>
              <w:bottom w:val="single" w:sz="8" w:space="0" w:color="000000"/>
              <w:right w:val="nil"/>
            </w:tcBorders>
            <w:shd w:val="clear" w:color="auto" w:fill="D8D8D8"/>
          </w:tcPr>
          <w:p w14:paraId="5024C6F4" w14:textId="77777777" w:rsidR="00371E84" w:rsidRDefault="00371E84" w:rsidP="003606FC"/>
        </w:tc>
        <w:tc>
          <w:tcPr>
            <w:tcW w:w="2273" w:type="dxa"/>
            <w:vMerge/>
            <w:tcBorders>
              <w:top w:val="single" w:sz="8" w:space="0" w:color="000000"/>
              <w:left w:val="nil"/>
              <w:bottom w:val="single" w:sz="8" w:space="0" w:color="000000"/>
              <w:right w:val="nil"/>
            </w:tcBorders>
            <w:shd w:val="clear" w:color="auto" w:fill="D8D8D8"/>
          </w:tcPr>
          <w:p w14:paraId="2DF15675" w14:textId="77777777" w:rsidR="00371E84" w:rsidRDefault="00371E84" w:rsidP="003606FC"/>
        </w:tc>
        <w:tc>
          <w:tcPr>
            <w:tcW w:w="1919" w:type="dxa"/>
            <w:vMerge/>
            <w:tcBorders>
              <w:top w:val="single" w:sz="8" w:space="0" w:color="000000"/>
              <w:left w:val="nil"/>
              <w:bottom w:val="single" w:sz="8" w:space="0" w:color="000000"/>
              <w:right w:val="nil"/>
            </w:tcBorders>
            <w:shd w:val="clear" w:color="auto" w:fill="D8D8D8"/>
          </w:tcPr>
          <w:p w14:paraId="1E8E9BD9" w14:textId="77777777" w:rsidR="00371E84" w:rsidRDefault="00371E84" w:rsidP="003606FC"/>
        </w:tc>
        <w:tc>
          <w:tcPr>
            <w:tcW w:w="1465" w:type="dxa"/>
            <w:vMerge/>
            <w:tcBorders>
              <w:top w:val="single" w:sz="8" w:space="0" w:color="000000"/>
              <w:left w:val="nil"/>
              <w:bottom w:val="single" w:sz="8" w:space="0" w:color="000000"/>
              <w:right w:val="nil"/>
            </w:tcBorders>
            <w:shd w:val="clear" w:color="auto" w:fill="D8D8D8"/>
          </w:tcPr>
          <w:p w14:paraId="5FFDA966" w14:textId="77777777" w:rsidR="00371E84" w:rsidRDefault="00371E84" w:rsidP="003606FC"/>
        </w:tc>
        <w:tc>
          <w:tcPr>
            <w:tcW w:w="1330" w:type="dxa"/>
            <w:tcBorders>
              <w:top w:val="single" w:sz="8" w:space="0" w:color="000000"/>
              <w:left w:val="nil"/>
              <w:bottom w:val="single" w:sz="8" w:space="0" w:color="000000"/>
              <w:right w:val="nil"/>
            </w:tcBorders>
            <w:shd w:val="clear" w:color="auto" w:fill="D8D8D8"/>
            <w:tcMar>
              <w:top w:w="40" w:type="dxa"/>
              <w:left w:w="40" w:type="dxa"/>
              <w:bottom w:w="40" w:type="dxa"/>
              <w:right w:w="40" w:type="dxa"/>
            </w:tcMar>
            <w:vAlign w:val="center"/>
          </w:tcPr>
          <w:p w14:paraId="21589888"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based on amplicon sequencing</w:t>
            </w:r>
          </w:p>
        </w:tc>
        <w:tc>
          <w:tcPr>
            <w:tcW w:w="1330" w:type="dxa"/>
            <w:tcBorders>
              <w:top w:val="single" w:sz="8" w:space="0" w:color="000000"/>
              <w:left w:val="nil"/>
              <w:bottom w:val="single" w:sz="8" w:space="0" w:color="000000"/>
              <w:right w:val="nil"/>
            </w:tcBorders>
            <w:shd w:val="clear" w:color="auto" w:fill="D8D8D8"/>
            <w:tcMar>
              <w:top w:w="40" w:type="dxa"/>
              <w:left w:w="40" w:type="dxa"/>
              <w:bottom w:w="40" w:type="dxa"/>
              <w:right w:w="40" w:type="dxa"/>
            </w:tcMar>
            <w:vAlign w:val="center"/>
          </w:tcPr>
          <w:p w14:paraId="5EE05127"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based on shotgun sequencing</w:t>
            </w:r>
          </w:p>
        </w:tc>
        <w:tc>
          <w:tcPr>
            <w:tcW w:w="1330" w:type="dxa"/>
            <w:tcBorders>
              <w:top w:val="single" w:sz="8" w:space="0" w:color="000000"/>
              <w:left w:val="nil"/>
              <w:bottom w:val="single" w:sz="8" w:space="0" w:color="000000"/>
              <w:right w:val="nil"/>
            </w:tcBorders>
            <w:shd w:val="clear" w:color="auto" w:fill="D8D8D8"/>
            <w:tcMar>
              <w:top w:w="40" w:type="dxa"/>
              <w:left w:w="40" w:type="dxa"/>
              <w:bottom w:w="40" w:type="dxa"/>
              <w:right w:w="40" w:type="dxa"/>
            </w:tcMar>
            <w:vAlign w:val="center"/>
          </w:tcPr>
          <w:p w14:paraId="5E962466"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based on amplicon sequencing</w:t>
            </w:r>
          </w:p>
        </w:tc>
        <w:tc>
          <w:tcPr>
            <w:tcW w:w="1330" w:type="dxa"/>
            <w:tcBorders>
              <w:top w:val="single" w:sz="8" w:space="0" w:color="000000"/>
              <w:left w:val="nil"/>
              <w:bottom w:val="single" w:sz="8" w:space="0" w:color="000000"/>
              <w:right w:val="nil"/>
            </w:tcBorders>
            <w:shd w:val="clear" w:color="auto" w:fill="D8D8D8"/>
            <w:tcMar>
              <w:top w:w="40" w:type="dxa"/>
              <w:left w:w="40" w:type="dxa"/>
              <w:bottom w:w="40" w:type="dxa"/>
              <w:right w:w="40" w:type="dxa"/>
            </w:tcMar>
            <w:vAlign w:val="center"/>
          </w:tcPr>
          <w:p w14:paraId="40FF5816"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based on shotgun sequencing</w:t>
            </w:r>
          </w:p>
        </w:tc>
      </w:tr>
      <w:tr w:rsidR="00371E84" w14:paraId="5B33BCC7" w14:textId="77777777" w:rsidTr="003606FC">
        <w:trPr>
          <w:trHeight w:val="410"/>
        </w:trPr>
        <w:tc>
          <w:tcPr>
            <w:tcW w:w="1296" w:type="dxa"/>
            <w:tcBorders>
              <w:top w:val="single" w:sz="8" w:space="0" w:color="000000"/>
              <w:left w:val="nil"/>
              <w:bottom w:val="nil"/>
              <w:right w:val="nil"/>
            </w:tcBorders>
            <w:shd w:val="clear" w:color="auto" w:fill="FEFEFE"/>
            <w:tcMar>
              <w:top w:w="40" w:type="dxa"/>
              <w:left w:w="40" w:type="dxa"/>
              <w:bottom w:w="40" w:type="dxa"/>
              <w:right w:w="40" w:type="dxa"/>
            </w:tcMar>
            <w:vAlign w:val="center"/>
          </w:tcPr>
          <w:p w14:paraId="0B71F53E"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A1</w:t>
            </w:r>
          </w:p>
        </w:tc>
        <w:tc>
          <w:tcPr>
            <w:tcW w:w="2273" w:type="dxa"/>
            <w:tcBorders>
              <w:top w:val="single" w:sz="8" w:space="0" w:color="000000"/>
              <w:left w:val="nil"/>
              <w:bottom w:val="nil"/>
              <w:right w:val="nil"/>
            </w:tcBorders>
            <w:shd w:val="clear" w:color="auto" w:fill="FEFEFE"/>
            <w:tcMar>
              <w:top w:w="40" w:type="dxa"/>
              <w:left w:w="40" w:type="dxa"/>
              <w:bottom w:w="40" w:type="dxa"/>
              <w:right w:w="40" w:type="dxa"/>
            </w:tcMar>
            <w:vAlign w:val="center"/>
          </w:tcPr>
          <w:p w14:paraId="2DD9FFE6"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Sludge taken at 25, December, 2012</w:t>
            </w:r>
          </w:p>
        </w:tc>
        <w:tc>
          <w:tcPr>
            <w:tcW w:w="2273" w:type="dxa"/>
            <w:tcBorders>
              <w:top w:val="single" w:sz="8" w:space="0" w:color="000000"/>
              <w:left w:val="nil"/>
              <w:bottom w:val="nil"/>
              <w:right w:val="nil"/>
            </w:tcBorders>
            <w:shd w:val="clear" w:color="auto" w:fill="FEFEFE"/>
            <w:tcMar>
              <w:top w:w="40" w:type="dxa"/>
              <w:left w:w="40" w:type="dxa"/>
              <w:bottom w:w="40" w:type="dxa"/>
              <w:right w:w="40" w:type="dxa"/>
            </w:tcMar>
            <w:vAlign w:val="center"/>
          </w:tcPr>
          <w:p w14:paraId="1F3AF31F"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61,998,374</w:t>
            </w:r>
          </w:p>
        </w:tc>
        <w:tc>
          <w:tcPr>
            <w:tcW w:w="1919" w:type="dxa"/>
            <w:tcBorders>
              <w:top w:val="single" w:sz="8" w:space="0" w:color="000000"/>
              <w:left w:val="nil"/>
              <w:bottom w:val="nil"/>
              <w:right w:val="nil"/>
            </w:tcBorders>
            <w:shd w:val="clear" w:color="auto" w:fill="FEFEFE"/>
            <w:tcMar>
              <w:top w:w="40" w:type="dxa"/>
              <w:left w:w="40" w:type="dxa"/>
              <w:bottom w:w="40" w:type="dxa"/>
              <w:right w:w="40" w:type="dxa"/>
            </w:tcMar>
            <w:vAlign w:val="center"/>
          </w:tcPr>
          <w:p w14:paraId="338DBA90"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14.7</w:t>
            </w:r>
          </w:p>
        </w:tc>
        <w:tc>
          <w:tcPr>
            <w:tcW w:w="1465" w:type="dxa"/>
            <w:tcBorders>
              <w:top w:val="single" w:sz="8" w:space="0" w:color="000000"/>
              <w:left w:val="nil"/>
              <w:bottom w:val="nil"/>
              <w:right w:val="nil"/>
            </w:tcBorders>
            <w:shd w:val="clear" w:color="auto" w:fill="FEFEFE"/>
            <w:tcMar>
              <w:top w:w="40" w:type="dxa"/>
              <w:left w:w="40" w:type="dxa"/>
              <w:bottom w:w="40" w:type="dxa"/>
              <w:right w:w="40" w:type="dxa"/>
            </w:tcMar>
            <w:vAlign w:val="center"/>
          </w:tcPr>
          <w:p w14:paraId="5F3AF908"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29,866,508</w:t>
            </w:r>
          </w:p>
        </w:tc>
        <w:tc>
          <w:tcPr>
            <w:tcW w:w="1330" w:type="dxa"/>
            <w:tcBorders>
              <w:top w:val="single" w:sz="8" w:space="0" w:color="000000"/>
              <w:left w:val="nil"/>
              <w:bottom w:val="nil"/>
              <w:right w:val="nil"/>
            </w:tcBorders>
            <w:shd w:val="clear" w:color="auto" w:fill="FEFEFE"/>
            <w:tcMar>
              <w:top w:w="40" w:type="dxa"/>
              <w:left w:w="40" w:type="dxa"/>
              <w:bottom w:w="40" w:type="dxa"/>
              <w:right w:w="40" w:type="dxa"/>
            </w:tcMar>
            <w:vAlign w:val="center"/>
          </w:tcPr>
          <w:p w14:paraId="7470961F"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4.64</w:t>
            </w:r>
          </w:p>
        </w:tc>
        <w:tc>
          <w:tcPr>
            <w:tcW w:w="1330" w:type="dxa"/>
            <w:tcBorders>
              <w:top w:val="single" w:sz="8" w:space="0" w:color="000000"/>
              <w:left w:val="nil"/>
              <w:bottom w:val="nil"/>
              <w:right w:val="nil"/>
            </w:tcBorders>
            <w:shd w:val="clear" w:color="auto" w:fill="FEFEFE"/>
            <w:tcMar>
              <w:top w:w="40" w:type="dxa"/>
              <w:left w:w="40" w:type="dxa"/>
              <w:bottom w:w="40" w:type="dxa"/>
              <w:right w:w="40" w:type="dxa"/>
            </w:tcMar>
            <w:vAlign w:val="center"/>
          </w:tcPr>
          <w:p w14:paraId="1E3C2AE2"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9.98</w:t>
            </w:r>
          </w:p>
        </w:tc>
        <w:tc>
          <w:tcPr>
            <w:tcW w:w="1330" w:type="dxa"/>
            <w:tcBorders>
              <w:top w:val="single" w:sz="8" w:space="0" w:color="000000"/>
              <w:left w:val="nil"/>
              <w:bottom w:val="nil"/>
              <w:right w:val="nil"/>
            </w:tcBorders>
            <w:shd w:val="clear" w:color="auto" w:fill="FEFEFE"/>
            <w:tcMar>
              <w:top w:w="40" w:type="dxa"/>
              <w:left w:w="40" w:type="dxa"/>
              <w:bottom w:w="40" w:type="dxa"/>
              <w:right w:w="40" w:type="dxa"/>
            </w:tcMar>
            <w:vAlign w:val="center"/>
          </w:tcPr>
          <w:p w14:paraId="0545F141"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0.26</w:t>
            </w:r>
          </w:p>
        </w:tc>
        <w:tc>
          <w:tcPr>
            <w:tcW w:w="1330" w:type="dxa"/>
            <w:tcBorders>
              <w:top w:val="single" w:sz="8" w:space="0" w:color="000000"/>
              <w:left w:val="nil"/>
              <w:bottom w:val="nil"/>
              <w:right w:val="nil"/>
            </w:tcBorders>
            <w:shd w:val="clear" w:color="auto" w:fill="FEFEFE"/>
            <w:tcMar>
              <w:top w:w="40" w:type="dxa"/>
              <w:left w:w="40" w:type="dxa"/>
              <w:bottom w:w="40" w:type="dxa"/>
              <w:right w:w="40" w:type="dxa"/>
            </w:tcMar>
            <w:vAlign w:val="center"/>
          </w:tcPr>
          <w:p w14:paraId="6744F339"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0.1</w:t>
            </w:r>
          </w:p>
        </w:tc>
      </w:tr>
      <w:tr w:rsidR="00371E84" w14:paraId="4301EF56" w14:textId="77777777" w:rsidTr="003606FC">
        <w:trPr>
          <w:trHeight w:val="400"/>
        </w:trPr>
        <w:tc>
          <w:tcPr>
            <w:tcW w:w="1296" w:type="dxa"/>
            <w:tcBorders>
              <w:top w:val="nil"/>
              <w:left w:val="nil"/>
              <w:bottom w:val="nil"/>
              <w:right w:val="nil"/>
            </w:tcBorders>
            <w:shd w:val="clear" w:color="auto" w:fill="F2F2F2"/>
            <w:tcMar>
              <w:top w:w="40" w:type="dxa"/>
              <w:left w:w="40" w:type="dxa"/>
              <w:bottom w:w="40" w:type="dxa"/>
              <w:right w:w="40" w:type="dxa"/>
            </w:tcMar>
            <w:vAlign w:val="center"/>
          </w:tcPr>
          <w:p w14:paraId="6ADE0DC9"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F1</w:t>
            </w:r>
          </w:p>
        </w:tc>
        <w:tc>
          <w:tcPr>
            <w:tcW w:w="2273" w:type="dxa"/>
            <w:tcBorders>
              <w:top w:val="nil"/>
              <w:left w:val="nil"/>
              <w:bottom w:val="nil"/>
              <w:right w:val="nil"/>
            </w:tcBorders>
            <w:shd w:val="clear" w:color="auto" w:fill="F2F2F2"/>
            <w:tcMar>
              <w:top w:w="40" w:type="dxa"/>
              <w:left w:w="40" w:type="dxa"/>
              <w:bottom w:w="40" w:type="dxa"/>
              <w:right w:w="40" w:type="dxa"/>
            </w:tcMar>
            <w:vAlign w:val="center"/>
          </w:tcPr>
          <w:p w14:paraId="63C3BCA5"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Flocculant part of sample A1</w:t>
            </w:r>
          </w:p>
        </w:tc>
        <w:tc>
          <w:tcPr>
            <w:tcW w:w="2273" w:type="dxa"/>
            <w:tcBorders>
              <w:top w:val="nil"/>
              <w:left w:val="nil"/>
              <w:bottom w:val="nil"/>
              <w:right w:val="nil"/>
            </w:tcBorders>
            <w:shd w:val="clear" w:color="auto" w:fill="F2F2F2"/>
            <w:tcMar>
              <w:top w:w="40" w:type="dxa"/>
              <w:left w:w="40" w:type="dxa"/>
              <w:bottom w:w="40" w:type="dxa"/>
              <w:right w:w="40" w:type="dxa"/>
            </w:tcMar>
            <w:vAlign w:val="center"/>
          </w:tcPr>
          <w:p w14:paraId="6729040B"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30,650,188</w:t>
            </w:r>
          </w:p>
        </w:tc>
        <w:tc>
          <w:tcPr>
            <w:tcW w:w="1919" w:type="dxa"/>
            <w:tcBorders>
              <w:top w:val="nil"/>
              <w:left w:val="nil"/>
              <w:bottom w:val="nil"/>
              <w:right w:val="nil"/>
            </w:tcBorders>
            <w:shd w:val="clear" w:color="auto" w:fill="F2F2F2"/>
            <w:tcMar>
              <w:top w:w="40" w:type="dxa"/>
              <w:left w:w="40" w:type="dxa"/>
              <w:bottom w:w="40" w:type="dxa"/>
              <w:right w:w="40" w:type="dxa"/>
            </w:tcMar>
            <w:vAlign w:val="center"/>
          </w:tcPr>
          <w:p w14:paraId="2B8D0EBC"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6.9</w:t>
            </w:r>
          </w:p>
        </w:tc>
        <w:tc>
          <w:tcPr>
            <w:tcW w:w="1465" w:type="dxa"/>
            <w:tcBorders>
              <w:top w:val="nil"/>
              <w:left w:val="nil"/>
              <w:bottom w:val="nil"/>
              <w:right w:val="nil"/>
            </w:tcBorders>
            <w:shd w:val="clear" w:color="auto" w:fill="F2F2F2"/>
            <w:tcMar>
              <w:top w:w="40" w:type="dxa"/>
              <w:left w:w="40" w:type="dxa"/>
              <w:bottom w:w="40" w:type="dxa"/>
              <w:right w:w="40" w:type="dxa"/>
            </w:tcMar>
            <w:vAlign w:val="center"/>
          </w:tcPr>
          <w:p w14:paraId="5D7B1BFC"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w:t>
            </w:r>
          </w:p>
        </w:tc>
        <w:tc>
          <w:tcPr>
            <w:tcW w:w="1330" w:type="dxa"/>
            <w:tcBorders>
              <w:top w:val="nil"/>
              <w:left w:val="nil"/>
              <w:bottom w:val="nil"/>
              <w:right w:val="nil"/>
            </w:tcBorders>
            <w:shd w:val="clear" w:color="auto" w:fill="F2F2F2"/>
            <w:tcMar>
              <w:top w:w="40" w:type="dxa"/>
              <w:left w:w="40" w:type="dxa"/>
              <w:bottom w:w="40" w:type="dxa"/>
              <w:right w:w="40" w:type="dxa"/>
            </w:tcMar>
            <w:vAlign w:val="center"/>
          </w:tcPr>
          <w:p w14:paraId="56ED7CA5"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w:t>
            </w:r>
          </w:p>
        </w:tc>
        <w:tc>
          <w:tcPr>
            <w:tcW w:w="1330" w:type="dxa"/>
            <w:tcBorders>
              <w:top w:val="nil"/>
              <w:left w:val="nil"/>
              <w:bottom w:val="nil"/>
              <w:right w:val="nil"/>
            </w:tcBorders>
            <w:shd w:val="clear" w:color="auto" w:fill="F2F2F2"/>
            <w:tcMar>
              <w:top w:w="40" w:type="dxa"/>
              <w:left w:w="40" w:type="dxa"/>
              <w:bottom w:w="40" w:type="dxa"/>
              <w:right w:w="40" w:type="dxa"/>
            </w:tcMar>
            <w:vAlign w:val="center"/>
          </w:tcPr>
          <w:p w14:paraId="6FD3A792"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9.23</w:t>
            </w:r>
          </w:p>
        </w:tc>
        <w:tc>
          <w:tcPr>
            <w:tcW w:w="1330" w:type="dxa"/>
            <w:tcBorders>
              <w:top w:val="nil"/>
              <w:left w:val="nil"/>
              <w:bottom w:val="nil"/>
              <w:right w:val="nil"/>
            </w:tcBorders>
            <w:shd w:val="clear" w:color="auto" w:fill="F2F2F2"/>
            <w:tcMar>
              <w:top w:w="40" w:type="dxa"/>
              <w:left w:w="40" w:type="dxa"/>
              <w:bottom w:w="40" w:type="dxa"/>
              <w:right w:w="40" w:type="dxa"/>
            </w:tcMar>
            <w:vAlign w:val="center"/>
          </w:tcPr>
          <w:p w14:paraId="25D07FE1"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w:t>
            </w:r>
          </w:p>
        </w:tc>
        <w:tc>
          <w:tcPr>
            <w:tcW w:w="1330" w:type="dxa"/>
            <w:tcBorders>
              <w:top w:val="nil"/>
              <w:left w:val="nil"/>
              <w:bottom w:val="nil"/>
              <w:right w:val="nil"/>
            </w:tcBorders>
            <w:shd w:val="clear" w:color="auto" w:fill="F2F2F2"/>
            <w:tcMar>
              <w:top w:w="40" w:type="dxa"/>
              <w:left w:w="40" w:type="dxa"/>
              <w:bottom w:w="40" w:type="dxa"/>
              <w:right w:w="40" w:type="dxa"/>
            </w:tcMar>
            <w:vAlign w:val="center"/>
          </w:tcPr>
          <w:p w14:paraId="4AC6ADAF"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0.08</w:t>
            </w:r>
          </w:p>
        </w:tc>
      </w:tr>
      <w:tr w:rsidR="00371E84" w14:paraId="61035596" w14:textId="77777777" w:rsidTr="003606FC">
        <w:trPr>
          <w:trHeight w:val="400"/>
        </w:trPr>
        <w:tc>
          <w:tcPr>
            <w:tcW w:w="1296" w:type="dxa"/>
            <w:tcBorders>
              <w:top w:val="nil"/>
              <w:left w:val="nil"/>
              <w:bottom w:val="nil"/>
              <w:right w:val="nil"/>
            </w:tcBorders>
            <w:shd w:val="clear" w:color="auto" w:fill="FEFEFE"/>
            <w:tcMar>
              <w:top w:w="40" w:type="dxa"/>
              <w:left w:w="40" w:type="dxa"/>
              <w:bottom w:w="40" w:type="dxa"/>
              <w:right w:w="40" w:type="dxa"/>
            </w:tcMar>
            <w:vAlign w:val="center"/>
          </w:tcPr>
          <w:p w14:paraId="3C478B23"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G1</w:t>
            </w:r>
          </w:p>
        </w:tc>
        <w:tc>
          <w:tcPr>
            <w:tcW w:w="2273" w:type="dxa"/>
            <w:tcBorders>
              <w:top w:val="nil"/>
              <w:left w:val="nil"/>
              <w:bottom w:val="nil"/>
              <w:right w:val="nil"/>
            </w:tcBorders>
            <w:shd w:val="clear" w:color="auto" w:fill="FEFEFE"/>
            <w:tcMar>
              <w:top w:w="40" w:type="dxa"/>
              <w:left w:w="40" w:type="dxa"/>
              <w:bottom w:w="40" w:type="dxa"/>
              <w:right w:w="40" w:type="dxa"/>
            </w:tcMar>
            <w:vAlign w:val="center"/>
          </w:tcPr>
          <w:p w14:paraId="1FB18FD7"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Granular sludge part of sample A1</w:t>
            </w:r>
          </w:p>
        </w:tc>
        <w:tc>
          <w:tcPr>
            <w:tcW w:w="2273" w:type="dxa"/>
            <w:tcBorders>
              <w:top w:val="nil"/>
              <w:left w:val="nil"/>
              <w:bottom w:val="nil"/>
              <w:right w:val="nil"/>
            </w:tcBorders>
            <w:shd w:val="clear" w:color="auto" w:fill="FEFEFE"/>
            <w:tcMar>
              <w:top w:w="40" w:type="dxa"/>
              <w:left w:w="40" w:type="dxa"/>
              <w:bottom w:w="40" w:type="dxa"/>
              <w:right w:w="40" w:type="dxa"/>
            </w:tcMar>
            <w:vAlign w:val="center"/>
          </w:tcPr>
          <w:p w14:paraId="79E7E193"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67,123,180</w:t>
            </w:r>
          </w:p>
        </w:tc>
        <w:tc>
          <w:tcPr>
            <w:tcW w:w="1919" w:type="dxa"/>
            <w:tcBorders>
              <w:top w:val="nil"/>
              <w:left w:val="nil"/>
              <w:bottom w:val="nil"/>
              <w:right w:val="nil"/>
            </w:tcBorders>
            <w:shd w:val="clear" w:color="auto" w:fill="FEFEFE"/>
            <w:tcMar>
              <w:top w:w="40" w:type="dxa"/>
              <w:left w:w="40" w:type="dxa"/>
              <w:bottom w:w="40" w:type="dxa"/>
              <w:right w:w="40" w:type="dxa"/>
            </w:tcMar>
            <w:vAlign w:val="center"/>
          </w:tcPr>
          <w:p w14:paraId="4FC5C6A1"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15.7</w:t>
            </w:r>
          </w:p>
        </w:tc>
        <w:tc>
          <w:tcPr>
            <w:tcW w:w="1465" w:type="dxa"/>
            <w:tcBorders>
              <w:top w:val="nil"/>
              <w:left w:val="nil"/>
              <w:bottom w:val="nil"/>
              <w:right w:val="nil"/>
            </w:tcBorders>
            <w:shd w:val="clear" w:color="auto" w:fill="FEFEFE"/>
            <w:tcMar>
              <w:top w:w="40" w:type="dxa"/>
              <w:left w:w="40" w:type="dxa"/>
              <w:bottom w:w="40" w:type="dxa"/>
              <w:right w:w="40" w:type="dxa"/>
            </w:tcMar>
            <w:vAlign w:val="center"/>
          </w:tcPr>
          <w:p w14:paraId="7161DCA3"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w:t>
            </w:r>
          </w:p>
        </w:tc>
        <w:tc>
          <w:tcPr>
            <w:tcW w:w="1330" w:type="dxa"/>
            <w:tcBorders>
              <w:top w:val="nil"/>
              <w:left w:val="nil"/>
              <w:bottom w:val="nil"/>
              <w:right w:val="nil"/>
            </w:tcBorders>
            <w:shd w:val="clear" w:color="auto" w:fill="FEFEFE"/>
            <w:tcMar>
              <w:top w:w="40" w:type="dxa"/>
              <w:left w:w="40" w:type="dxa"/>
              <w:bottom w:w="40" w:type="dxa"/>
              <w:right w:w="40" w:type="dxa"/>
            </w:tcMar>
            <w:vAlign w:val="center"/>
          </w:tcPr>
          <w:p w14:paraId="525A445D"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w:t>
            </w:r>
          </w:p>
        </w:tc>
        <w:tc>
          <w:tcPr>
            <w:tcW w:w="1330" w:type="dxa"/>
            <w:tcBorders>
              <w:top w:val="nil"/>
              <w:left w:val="nil"/>
              <w:bottom w:val="nil"/>
              <w:right w:val="nil"/>
            </w:tcBorders>
            <w:shd w:val="clear" w:color="auto" w:fill="FEFEFE"/>
            <w:tcMar>
              <w:top w:w="40" w:type="dxa"/>
              <w:left w:w="40" w:type="dxa"/>
              <w:bottom w:w="40" w:type="dxa"/>
              <w:right w:w="40" w:type="dxa"/>
            </w:tcMar>
            <w:vAlign w:val="center"/>
          </w:tcPr>
          <w:p w14:paraId="6BFD7408"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7.23</w:t>
            </w:r>
          </w:p>
        </w:tc>
        <w:tc>
          <w:tcPr>
            <w:tcW w:w="1330" w:type="dxa"/>
            <w:tcBorders>
              <w:top w:val="nil"/>
              <w:left w:val="nil"/>
              <w:bottom w:val="nil"/>
              <w:right w:val="nil"/>
            </w:tcBorders>
            <w:shd w:val="clear" w:color="auto" w:fill="FEFEFE"/>
            <w:tcMar>
              <w:top w:w="40" w:type="dxa"/>
              <w:left w:w="40" w:type="dxa"/>
              <w:bottom w:w="40" w:type="dxa"/>
              <w:right w:w="40" w:type="dxa"/>
            </w:tcMar>
            <w:vAlign w:val="center"/>
          </w:tcPr>
          <w:p w14:paraId="75594559"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w:t>
            </w:r>
          </w:p>
        </w:tc>
        <w:tc>
          <w:tcPr>
            <w:tcW w:w="1330" w:type="dxa"/>
            <w:tcBorders>
              <w:top w:val="nil"/>
              <w:left w:val="nil"/>
              <w:bottom w:val="nil"/>
              <w:right w:val="nil"/>
            </w:tcBorders>
            <w:shd w:val="clear" w:color="auto" w:fill="FEFEFE"/>
            <w:tcMar>
              <w:top w:w="40" w:type="dxa"/>
              <w:left w:w="40" w:type="dxa"/>
              <w:bottom w:w="40" w:type="dxa"/>
              <w:right w:w="40" w:type="dxa"/>
            </w:tcMar>
            <w:vAlign w:val="center"/>
          </w:tcPr>
          <w:p w14:paraId="7CC65DA4"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0.23</w:t>
            </w:r>
          </w:p>
        </w:tc>
      </w:tr>
      <w:tr w:rsidR="00371E84" w14:paraId="5E11741F" w14:textId="77777777" w:rsidTr="003606FC">
        <w:trPr>
          <w:trHeight w:val="410"/>
        </w:trPr>
        <w:tc>
          <w:tcPr>
            <w:tcW w:w="1296" w:type="dxa"/>
            <w:tcBorders>
              <w:top w:val="nil"/>
              <w:left w:val="nil"/>
              <w:bottom w:val="single" w:sz="8" w:space="0" w:color="000000"/>
              <w:right w:val="nil"/>
            </w:tcBorders>
            <w:shd w:val="clear" w:color="auto" w:fill="F2F2F2"/>
            <w:tcMar>
              <w:top w:w="40" w:type="dxa"/>
              <w:left w:w="40" w:type="dxa"/>
              <w:bottom w:w="40" w:type="dxa"/>
              <w:right w:w="40" w:type="dxa"/>
            </w:tcMar>
            <w:vAlign w:val="center"/>
          </w:tcPr>
          <w:p w14:paraId="57F742D1"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A2</w:t>
            </w:r>
          </w:p>
        </w:tc>
        <w:tc>
          <w:tcPr>
            <w:tcW w:w="2273" w:type="dxa"/>
            <w:tcBorders>
              <w:top w:val="nil"/>
              <w:left w:val="nil"/>
              <w:bottom w:val="single" w:sz="8" w:space="0" w:color="000000"/>
              <w:right w:val="nil"/>
            </w:tcBorders>
            <w:shd w:val="clear" w:color="auto" w:fill="F2F2F2"/>
            <w:tcMar>
              <w:top w:w="40" w:type="dxa"/>
              <w:left w:w="40" w:type="dxa"/>
              <w:bottom w:w="40" w:type="dxa"/>
              <w:right w:w="40" w:type="dxa"/>
            </w:tcMar>
            <w:vAlign w:val="center"/>
          </w:tcPr>
          <w:p w14:paraId="43CB3846"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Sludge taken at 16 September, 2010</w:t>
            </w:r>
          </w:p>
        </w:tc>
        <w:tc>
          <w:tcPr>
            <w:tcW w:w="2273" w:type="dxa"/>
            <w:tcBorders>
              <w:top w:val="nil"/>
              <w:left w:val="nil"/>
              <w:bottom w:val="single" w:sz="8" w:space="0" w:color="000000"/>
              <w:right w:val="nil"/>
            </w:tcBorders>
            <w:shd w:val="clear" w:color="auto" w:fill="F2F2F2"/>
            <w:tcMar>
              <w:top w:w="40" w:type="dxa"/>
              <w:left w:w="40" w:type="dxa"/>
              <w:bottom w:w="40" w:type="dxa"/>
              <w:right w:w="40" w:type="dxa"/>
            </w:tcMar>
            <w:vAlign w:val="center"/>
          </w:tcPr>
          <w:p w14:paraId="663AA1EE"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80,896,216</w:t>
            </w:r>
          </w:p>
        </w:tc>
        <w:tc>
          <w:tcPr>
            <w:tcW w:w="1919" w:type="dxa"/>
            <w:tcBorders>
              <w:top w:val="nil"/>
              <w:left w:val="nil"/>
              <w:bottom w:val="single" w:sz="8" w:space="0" w:color="000000"/>
              <w:right w:val="nil"/>
            </w:tcBorders>
            <w:shd w:val="clear" w:color="auto" w:fill="F2F2F2"/>
            <w:tcMar>
              <w:top w:w="40" w:type="dxa"/>
              <w:left w:w="40" w:type="dxa"/>
              <w:bottom w:w="40" w:type="dxa"/>
              <w:right w:w="40" w:type="dxa"/>
            </w:tcMar>
            <w:vAlign w:val="center"/>
          </w:tcPr>
          <w:p w14:paraId="726312C1"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18.9</w:t>
            </w:r>
          </w:p>
        </w:tc>
        <w:tc>
          <w:tcPr>
            <w:tcW w:w="1465" w:type="dxa"/>
            <w:tcBorders>
              <w:top w:val="nil"/>
              <w:left w:val="nil"/>
              <w:bottom w:val="single" w:sz="8" w:space="0" w:color="000000"/>
              <w:right w:val="nil"/>
            </w:tcBorders>
            <w:shd w:val="clear" w:color="auto" w:fill="F2F2F2"/>
            <w:tcMar>
              <w:top w:w="40" w:type="dxa"/>
              <w:left w:w="40" w:type="dxa"/>
              <w:bottom w:w="40" w:type="dxa"/>
              <w:right w:w="40" w:type="dxa"/>
            </w:tcMar>
            <w:vAlign w:val="center"/>
          </w:tcPr>
          <w:p w14:paraId="5DD37A83"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w:t>
            </w:r>
          </w:p>
        </w:tc>
        <w:tc>
          <w:tcPr>
            <w:tcW w:w="1330" w:type="dxa"/>
            <w:tcBorders>
              <w:top w:val="nil"/>
              <w:left w:val="nil"/>
              <w:bottom w:val="single" w:sz="8" w:space="0" w:color="000000"/>
              <w:right w:val="nil"/>
            </w:tcBorders>
            <w:shd w:val="clear" w:color="auto" w:fill="F2F2F2"/>
            <w:tcMar>
              <w:top w:w="40" w:type="dxa"/>
              <w:left w:w="40" w:type="dxa"/>
              <w:bottom w:w="40" w:type="dxa"/>
              <w:right w:w="40" w:type="dxa"/>
            </w:tcMar>
            <w:vAlign w:val="center"/>
          </w:tcPr>
          <w:p w14:paraId="150FCBEF"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3.45</w:t>
            </w:r>
          </w:p>
        </w:tc>
        <w:tc>
          <w:tcPr>
            <w:tcW w:w="1330" w:type="dxa"/>
            <w:tcBorders>
              <w:top w:val="nil"/>
              <w:left w:val="nil"/>
              <w:bottom w:val="single" w:sz="8" w:space="0" w:color="000000"/>
              <w:right w:val="nil"/>
            </w:tcBorders>
            <w:shd w:val="clear" w:color="auto" w:fill="F2F2F2"/>
            <w:tcMar>
              <w:top w:w="40" w:type="dxa"/>
              <w:left w:w="40" w:type="dxa"/>
              <w:bottom w:w="40" w:type="dxa"/>
              <w:right w:w="40" w:type="dxa"/>
            </w:tcMar>
            <w:vAlign w:val="center"/>
          </w:tcPr>
          <w:p w14:paraId="1A0F4939"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10.39</w:t>
            </w:r>
          </w:p>
        </w:tc>
        <w:tc>
          <w:tcPr>
            <w:tcW w:w="1330" w:type="dxa"/>
            <w:tcBorders>
              <w:top w:val="nil"/>
              <w:left w:val="nil"/>
              <w:bottom w:val="single" w:sz="8" w:space="0" w:color="000000"/>
              <w:right w:val="nil"/>
            </w:tcBorders>
            <w:shd w:val="clear" w:color="auto" w:fill="F2F2F2"/>
            <w:tcMar>
              <w:top w:w="40" w:type="dxa"/>
              <w:left w:w="40" w:type="dxa"/>
              <w:bottom w:w="40" w:type="dxa"/>
              <w:right w:w="40" w:type="dxa"/>
            </w:tcMar>
            <w:vAlign w:val="center"/>
          </w:tcPr>
          <w:p w14:paraId="5778C86D"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0.22</w:t>
            </w:r>
          </w:p>
        </w:tc>
        <w:tc>
          <w:tcPr>
            <w:tcW w:w="1330" w:type="dxa"/>
            <w:tcBorders>
              <w:top w:val="nil"/>
              <w:left w:val="nil"/>
              <w:bottom w:val="single" w:sz="8" w:space="0" w:color="000000"/>
              <w:right w:val="nil"/>
            </w:tcBorders>
            <w:shd w:val="clear" w:color="auto" w:fill="F2F2F2"/>
            <w:tcMar>
              <w:top w:w="40" w:type="dxa"/>
              <w:left w:w="40" w:type="dxa"/>
              <w:bottom w:w="40" w:type="dxa"/>
              <w:right w:w="40" w:type="dxa"/>
            </w:tcMar>
            <w:vAlign w:val="center"/>
          </w:tcPr>
          <w:p w14:paraId="4FADEAB1" w14:textId="77777777" w:rsidR="00371E84" w:rsidRDefault="00371E84" w:rsidP="003606F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sz w:val="18"/>
                <w:szCs w:val="18"/>
              </w:rPr>
              <w:t>0.98</w:t>
            </w:r>
          </w:p>
        </w:tc>
      </w:tr>
    </w:tbl>
    <w:p w14:paraId="55CE74E6" w14:textId="77777777" w:rsidR="00371E84" w:rsidRDefault="00371E84" w:rsidP="00371E84">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sz w:val="22"/>
          <w:szCs w:val="22"/>
        </w:rPr>
      </w:pPr>
      <w:bookmarkStart w:id="0" w:name="_GoBack"/>
      <w:bookmarkEnd w:id="0"/>
      <w:r>
        <w:rPr>
          <w:rFonts w:ascii="Times New Roman"/>
          <w:sz w:val="22"/>
          <w:szCs w:val="22"/>
        </w:rPr>
        <w:t xml:space="preserve">a. All the sludge samples were obtained from a full-scale UASB reactor treating isomerized sugar processing wastewater. A1 and A2 samples represent whole sludge samples taken directly from the reactor system. F1 and G1 were gravimetrically separated from sample A1. </w:t>
      </w:r>
    </w:p>
    <w:p w14:paraId="6C6776F7" w14:textId="77777777" w:rsidR="00371E84" w:rsidRDefault="00371E84" w:rsidP="00371E84">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sz w:val="22"/>
          <w:szCs w:val="22"/>
        </w:rPr>
      </w:pPr>
      <w:r>
        <w:rPr>
          <w:rFonts w:ascii="Times New Roman"/>
          <w:sz w:val="22"/>
          <w:szCs w:val="22"/>
        </w:rPr>
        <w:t xml:space="preserve">b. Sequencing was initially performed and described in Soo </w:t>
      </w:r>
      <w:r>
        <w:rPr>
          <w:rFonts w:ascii="Times New Roman"/>
          <w:i/>
          <w:iCs/>
          <w:sz w:val="22"/>
          <w:szCs w:val="22"/>
          <w:lang w:val="nl-NL"/>
        </w:rPr>
        <w:t>et al.</w:t>
      </w:r>
      <w:r>
        <w:rPr>
          <w:rFonts w:ascii="Times New Roman"/>
          <w:sz w:val="22"/>
          <w:szCs w:val="22"/>
        </w:rPr>
        <w:t xml:space="preserve"> 2014, and additional deep paired-end and mate-pair sequencing for the samples was performed in this study. Paired-end and mate-pair reads were generated using Illumina 2 x 250 </w:t>
      </w:r>
      <w:r w:rsidR="00A60C48">
        <w:rPr>
          <w:rFonts w:ascii="Times New Roman"/>
          <w:sz w:val="22"/>
          <w:szCs w:val="22"/>
        </w:rPr>
        <w:t>cycles</w:t>
      </w:r>
      <w:r>
        <w:rPr>
          <w:rFonts w:ascii="Times New Roman"/>
          <w:sz w:val="22"/>
          <w:szCs w:val="22"/>
        </w:rPr>
        <w:t xml:space="preserve"> sequencing kits. The relative abundance of KSB3 populations based on 16S amplicon sequence were determined as an average of duplicate determination of 16S rRNA gene amplicon sequencing on the Illumina MiSeq platform (Caporaso et al. 2012). </w:t>
      </w:r>
    </w:p>
    <w:p w14:paraId="584BD2A5" w14:textId="77777777" w:rsidR="00371E84" w:rsidRDefault="00371E84" w:rsidP="00371E84">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sz w:val="22"/>
          <w:szCs w:val="22"/>
        </w:rPr>
      </w:pPr>
      <w:r>
        <w:rPr>
          <w:rFonts w:ascii="Times New Roman"/>
          <w:sz w:val="22"/>
          <w:szCs w:val="22"/>
        </w:rPr>
        <w:t xml:space="preserve">c. The relative abundance based on shotgun sequencing was calculated using </w:t>
      </w:r>
      <w:r>
        <w:rPr>
          <w:rFonts w:ascii="Times New Roman"/>
          <w:kern w:val="2"/>
          <w:sz w:val="22"/>
          <w:szCs w:val="22"/>
        </w:rPr>
        <w:t>the 16S rRNA gene sequence close-reference OTU picking method in QIIME (</w:t>
      </w:r>
      <w:r>
        <w:rPr>
          <w:rFonts w:ascii="Times New Roman"/>
          <w:sz w:val="22"/>
          <w:szCs w:val="22"/>
        </w:rPr>
        <w:t>http://qiime.org/tutorials/otu_picking.html</w:t>
      </w:r>
      <w:r>
        <w:rPr>
          <w:rFonts w:ascii="Times New Roman"/>
          <w:kern w:val="2"/>
          <w:sz w:val="22"/>
          <w:szCs w:val="22"/>
        </w:rPr>
        <w:t>; QIIME v1.6.0 (Caporaso et al</w:t>
      </w:r>
      <w:r>
        <w:rPr>
          <w:rFonts w:ascii="Times New Roman"/>
          <w:i/>
          <w:iCs/>
          <w:kern w:val="2"/>
          <w:sz w:val="22"/>
          <w:szCs w:val="22"/>
        </w:rPr>
        <w:t>.</w:t>
      </w:r>
      <w:r>
        <w:rPr>
          <w:rFonts w:ascii="Times New Roman"/>
          <w:kern w:val="2"/>
          <w:sz w:val="22"/>
          <w:szCs w:val="22"/>
        </w:rPr>
        <w:t xml:space="preserve"> 2010); with the greengenes database (de-replicated dataset at 97%, March 2013, MacDonald et al. 2011) as reference with the following parameters: otu_picking_method, uclust_ref; similarity cutoff value, 0.95) with respective shotgun paired-end metagenome data.</w:t>
      </w:r>
    </w:p>
    <w:p w14:paraId="6FDCF9F3" w14:textId="77777777" w:rsidR="007D7F9A" w:rsidRDefault="007D7F9A"/>
    <w:sectPr w:rsidR="007D7F9A" w:rsidSect="00371E84">
      <w:pgSz w:w="16820" w:h="11900" w:orient="landscape"/>
      <w:pgMar w:top="1134" w:right="1134" w:bottom="1134" w:left="1134" w:header="851" w:footer="992" w:gutter="0"/>
      <w:cols w:space="425"/>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HG行刻">
    <w:altName w:val="ヒラギノ明朝 Pro W3"/>
    <w:charset w:val="80"/>
    <w:family w:val="auto"/>
    <w:pitch w:val="variable"/>
    <w:sig w:usb0="01000000" w:usb1="00000000" w:usb2="07040001" w:usb3="00000000" w:csb0="00020000" w:csb1="00000000"/>
  </w:font>
  <w:font w:name="ＭＳ 明朝">
    <w:panose1 w:val="02020609040205080304"/>
    <w:charset w:val="4E"/>
    <w:family w:val="auto"/>
    <w:pitch w:val="variable"/>
    <w:sig w:usb0="E00002FF" w:usb1="6AC7FDFB" w:usb2="00000012" w:usb3="00000000" w:csb0="0002009F" w:csb1="00000000"/>
  </w:font>
  <w:font w:name="ヒラギノ角ゴ Pro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C0CAC4"/>
    <w:lvl w:ilvl="0">
      <w:start w:val="1"/>
      <w:numFmt w:val="bullet"/>
      <w:pStyle w:val="1"/>
      <w:lvlText w:val=""/>
      <w:lvlJc w:val="left"/>
      <w:pPr>
        <w:tabs>
          <w:tab w:val="num" w:pos="0"/>
        </w:tabs>
        <w:ind w:left="0" w:firstLine="0"/>
      </w:pPr>
      <w:rPr>
        <w:rFonts w:ascii="Wingdings" w:hAnsi="Wingdings" w:hint="default"/>
      </w:rPr>
    </w:lvl>
    <w:lvl w:ilvl="1">
      <w:start w:val="1"/>
      <w:numFmt w:val="bullet"/>
      <w:pStyle w:val="2"/>
      <w:lvlText w:val=""/>
      <w:lvlJc w:val="left"/>
      <w:pPr>
        <w:tabs>
          <w:tab w:val="num" w:pos="720"/>
        </w:tabs>
        <w:ind w:left="1080" w:hanging="360"/>
      </w:pPr>
      <w:rPr>
        <w:rFonts w:ascii="Symbol" w:hAnsi="Symbol" w:hint="default"/>
      </w:rPr>
    </w:lvl>
    <w:lvl w:ilvl="2">
      <w:start w:val="1"/>
      <w:numFmt w:val="bullet"/>
      <w:pStyle w:val="3"/>
      <w:lvlText w:val="o"/>
      <w:lvlJc w:val="left"/>
      <w:pPr>
        <w:tabs>
          <w:tab w:val="num" w:pos="1440"/>
        </w:tabs>
        <w:ind w:left="1800" w:hanging="360"/>
      </w:pPr>
      <w:rPr>
        <w:rFonts w:ascii="Courier New" w:hAnsi="Courier New" w:hint="default"/>
      </w:rPr>
    </w:lvl>
    <w:lvl w:ilvl="3">
      <w:start w:val="1"/>
      <w:numFmt w:val="bullet"/>
      <w:pStyle w:val="4"/>
      <w:lvlText w:val=""/>
      <w:lvlJc w:val="left"/>
      <w:pPr>
        <w:tabs>
          <w:tab w:val="num" w:pos="2160"/>
        </w:tabs>
        <w:ind w:left="2520" w:hanging="360"/>
      </w:pPr>
      <w:rPr>
        <w:rFonts w:ascii="Wingdings" w:hAnsi="Wingdings" w:hint="default"/>
      </w:rPr>
    </w:lvl>
    <w:lvl w:ilvl="4">
      <w:start w:val="1"/>
      <w:numFmt w:val="bullet"/>
      <w:pStyle w:val="5"/>
      <w:lvlText w:val=""/>
      <w:lvlJc w:val="left"/>
      <w:pPr>
        <w:tabs>
          <w:tab w:val="num" w:pos="2880"/>
        </w:tabs>
        <w:ind w:left="3240" w:hanging="360"/>
      </w:pPr>
      <w:rPr>
        <w:rFonts w:ascii="Wingdings" w:hAnsi="Wingdings" w:hint="default"/>
      </w:rPr>
    </w:lvl>
    <w:lvl w:ilvl="5">
      <w:start w:val="1"/>
      <w:numFmt w:val="bullet"/>
      <w:pStyle w:val="6"/>
      <w:lvlText w:val=""/>
      <w:lvlJc w:val="left"/>
      <w:pPr>
        <w:tabs>
          <w:tab w:val="num" w:pos="3600"/>
        </w:tabs>
        <w:ind w:left="3960" w:hanging="360"/>
      </w:pPr>
      <w:rPr>
        <w:rFonts w:ascii="Symbol" w:hAnsi="Symbol" w:hint="default"/>
      </w:rPr>
    </w:lvl>
    <w:lvl w:ilvl="6">
      <w:start w:val="1"/>
      <w:numFmt w:val="bullet"/>
      <w:pStyle w:val="7"/>
      <w:lvlText w:val="o"/>
      <w:lvlJc w:val="left"/>
      <w:pPr>
        <w:tabs>
          <w:tab w:val="num" w:pos="4320"/>
        </w:tabs>
        <w:ind w:left="4680" w:hanging="360"/>
      </w:pPr>
      <w:rPr>
        <w:rFonts w:ascii="Courier New" w:hAnsi="Courier New" w:hint="default"/>
      </w:rPr>
    </w:lvl>
    <w:lvl w:ilvl="7">
      <w:start w:val="1"/>
      <w:numFmt w:val="bullet"/>
      <w:pStyle w:val="8"/>
      <w:lvlText w:val=""/>
      <w:lvlJc w:val="left"/>
      <w:pPr>
        <w:tabs>
          <w:tab w:val="num" w:pos="5040"/>
        </w:tabs>
        <w:ind w:left="5400" w:hanging="360"/>
      </w:pPr>
      <w:rPr>
        <w:rFonts w:ascii="Wingdings" w:hAnsi="Wingdings" w:hint="default"/>
      </w:rPr>
    </w:lvl>
    <w:lvl w:ilvl="8">
      <w:start w:val="1"/>
      <w:numFmt w:val="bullet"/>
      <w:pStyle w:va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84"/>
    <w:rsid w:val="001D6700"/>
    <w:rsid w:val="00321D00"/>
    <w:rsid w:val="00347E4A"/>
    <w:rsid w:val="00360EEC"/>
    <w:rsid w:val="00371E84"/>
    <w:rsid w:val="003D36ED"/>
    <w:rsid w:val="00565339"/>
    <w:rsid w:val="007D7F9A"/>
    <w:rsid w:val="00821821"/>
    <w:rsid w:val="00845C76"/>
    <w:rsid w:val="00933F42"/>
    <w:rsid w:val="009A1552"/>
    <w:rsid w:val="00A02876"/>
    <w:rsid w:val="00A1475F"/>
    <w:rsid w:val="00A56B93"/>
    <w:rsid w:val="00A60C48"/>
    <w:rsid w:val="00C03761"/>
    <w:rsid w:val="00D36C56"/>
    <w:rsid w:val="00F769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19E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HG行刻"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1E84"/>
    <w:pPr>
      <w:pBdr>
        <w:top w:val="nil"/>
        <w:left w:val="nil"/>
        <w:bottom w:val="nil"/>
        <w:right w:val="nil"/>
        <w:between w:val="nil"/>
        <w:bar w:val="nil"/>
      </w:pBdr>
    </w:pPr>
    <w:rPr>
      <w:rFonts w:ascii="Times New Roman" w:eastAsiaTheme="minorEastAsia" w:hAnsi="Times New Roman" w:cs="Times New Roman"/>
      <w:kern w:val="0"/>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Note Level 1"/>
    <w:basedOn w:val="a"/>
    <w:rsid w:val="00233739"/>
    <w:pPr>
      <w:keepNext/>
      <w:numPr>
        <w:numId w:val="1"/>
      </w:numPr>
      <w:outlineLvl w:val="0"/>
    </w:pPr>
    <w:rPr>
      <w:color w:val="000000"/>
      <w:sz w:val="20"/>
    </w:rPr>
  </w:style>
  <w:style w:type="paragraph" w:styleId="2">
    <w:name w:val="Note Level 2"/>
    <w:basedOn w:val="a"/>
    <w:rsid w:val="00233739"/>
    <w:pPr>
      <w:keepNext/>
      <w:numPr>
        <w:ilvl w:val="1"/>
        <w:numId w:val="1"/>
      </w:numPr>
      <w:outlineLvl w:val="1"/>
    </w:pPr>
    <w:rPr>
      <w:color w:val="000000"/>
      <w:sz w:val="20"/>
    </w:rPr>
  </w:style>
  <w:style w:type="paragraph" w:styleId="3">
    <w:name w:val="Note Level 3"/>
    <w:basedOn w:val="a"/>
    <w:rsid w:val="00233739"/>
    <w:pPr>
      <w:keepNext/>
      <w:numPr>
        <w:ilvl w:val="2"/>
        <w:numId w:val="1"/>
      </w:numPr>
      <w:outlineLvl w:val="2"/>
    </w:pPr>
    <w:rPr>
      <w:color w:val="000000"/>
      <w:sz w:val="20"/>
    </w:rPr>
  </w:style>
  <w:style w:type="paragraph" w:styleId="4">
    <w:name w:val="Note Level 4"/>
    <w:basedOn w:val="a"/>
    <w:rsid w:val="00233739"/>
    <w:pPr>
      <w:keepNext/>
      <w:numPr>
        <w:ilvl w:val="3"/>
        <w:numId w:val="1"/>
      </w:numPr>
      <w:outlineLvl w:val="3"/>
    </w:pPr>
    <w:rPr>
      <w:color w:val="000000"/>
      <w:sz w:val="20"/>
    </w:rPr>
  </w:style>
  <w:style w:type="paragraph" w:styleId="5">
    <w:name w:val="Note Level 5"/>
    <w:basedOn w:val="a"/>
    <w:rsid w:val="00233739"/>
    <w:pPr>
      <w:keepNext/>
      <w:numPr>
        <w:ilvl w:val="4"/>
        <w:numId w:val="1"/>
      </w:numPr>
      <w:outlineLvl w:val="4"/>
    </w:pPr>
    <w:rPr>
      <w:color w:val="000000"/>
      <w:sz w:val="20"/>
    </w:rPr>
  </w:style>
  <w:style w:type="paragraph" w:styleId="6">
    <w:name w:val="Note Level 6"/>
    <w:basedOn w:val="a"/>
    <w:rsid w:val="00233739"/>
    <w:pPr>
      <w:keepNext/>
      <w:numPr>
        <w:ilvl w:val="5"/>
        <w:numId w:val="1"/>
      </w:numPr>
      <w:outlineLvl w:val="5"/>
    </w:pPr>
    <w:rPr>
      <w:color w:val="000000"/>
      <w:sz w:val="20"/>
    </w:rPr>
  </w:style>
  <w:style w:type="paragraph" w:styleId="7">
    <w:name w:val="Note Level 7"/>
    <w:basedOn w:val="a"/>
    <w:rsid w:val="00233739"/>
    <w:pPr>
      <w:keepNext/>
      <w:numPr>
        <w:ilvl w:val="6"/>
        <w:numId w:val="1"/>
      </w:numPr>
      <w:outlineLvl w:val="6"/>
    </w:pPr>
    <w:rPr>
      <w:color w:val="000000"/>
      <w:sz w:val="20"/>
    </w:rPr>
  </w:style>
  <w:style w:type="paragraph" w:styleId="8">
    <w:name w:val="Note Level 8"/>
    <w:basedOn w:val="a"/>
    <w:rsid w:val="00233739"/>
    <w:pPr>
      <w:keepNext/>
      <w:numPr>
        <w:ilvl w:val="7"/>
        <w:numId w:val="1"/>
      </w:numPr>
      <w:outlineLvl w:val="7"/>
    </w:pPr>
    <w:rPr>
      <w:color w:val="000000"/>
      <w:sz w:val="20"/>
    </w:rPr>
  </w:style>
  <w:style w:type="paragraph" w:styleId="9">
    <w:name w:val="Note Level 9"/>
    <w:basedOn w:val="a"/>
    <w:rsid w:val="00233739"/>
    <w:pPr>
      <w:keepNext/>
      <w:numPr>
        <w:ilvl w:val="8"/>
        <w:numId w:val="1"/>
      </w:numPr>
      <w:outlineLvl w:val="8"/>
    </w:pPr>
    <w:rPr>
      <w:color w:val="000000"/>
      <w:sz w:val="20"/>
    </w:rPr>
  </w:style>
  <w:style w:type="table" w:customStyle="1" w:styleId="TableNormal">
    <w:name w:val="Table Normal"/>
    <w:rsid w:val="00371E84"/>
    <w:pPr>
      <w:pBdr>
        <w:top w:val="nil"/>
        <w:left w:val="nil"/>
        <w:bottom w:val="nil"/>
        <w:right w:val="nil"/>
        <w:between w:val="nil"/>
        <w:bar w:val="nil"/>
      </w:pBdr>
    </w:pPr>
    <w:rPr>
      <w:rFonts w:ascii="Times New Roman" w:eastAsiaTheme="minorEastAsia"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3">
    <w:name w:val="フリーフォーム"/>
    <w:rsid w:val="00371E84"/>
    <w:pPr>
      <w:pBdr>
        <w:top w:val="nil"/>
        <w:left w:val="nil"/>
        <w:bottom w:val="nil"/>
        <w:right w:val="nil"/>
        <w:between w:val="nil"/>
        <w:bar w:val="nil"/>
      </w:pBdr>
    </w:pPr>
    <w:rPr>
      <w:rFonts w:ascii="ヒラギノ角ゴ Pro W3" w:eastAsia="ヒラギノ角ゴ Pro W3" w:hAnsi="ヒラギノ角ゴ Pro W3" w:cs="ヒラギノ角ゴ Pro W3"/>
      <w:color w:val="000000"/>
      <w:kern w:val="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HG行刻"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1E84"/>
    <w:pPr>
      <w:pBdr>
        <w:top w:val="nil"/>
        <w:left w:val="nil"/>
        <w:bottom w:val="nil"/>
        <w:right w:val="nil"/>
        <w:between w:val="nil"/>
        <w:bar w:val="nil"/>
      </w:pBdr>
    </w:pPr>
    <w:rPr>
      <w:rFonts w:ascii="Times New Roman" w:eastAsiaTheme="minorEastAsia" w:hAnsi="Times New Roman" w:cs="Times New Roman"/>
      <w:kern w:val="0"/>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Note Level 1"/>
    <w:basedOn w:val="a"/>
    <w:rsid w:val="00233739"/>
    <w:pPr>
      <w:keepNext/>
      <w:numPr>
        <w:numId w:val="1"/>
      </w:numPr>
      <w:outlineLvl w:val="0"/>
    </w:pPr>
    <w:rPr>
      <w:color w:val="000000"/>
      <w:sz w:val="20"/>
    </w:rPr>
  </w:style>
  <w:style w:type="paragraph" w:styleId="2">
    <w:name w:val="Note Level 2"/>
    <w:basedOn w:val="a"/>
    <w:rsid w:val="00233739"/>
    <w:pPr>
      <w:keepNext/>
      <w:numPr>
        <w:ilvl w:val="1"/>
        <w:numId w:val="1"/>
      </w:numPr>
      <w:outlineLvl w:val="1"/>
    </w:pPr>
    <w:rPr>
      <w:color w:val="000000"/>
      <w:sz w:val="20"/>
    </w:rPr>
  </w:style>
  <w:style w:type="paragraph" w:styleId="3">
    <w:name w:val="Note Level 3"/>
    <w:basedOn w:val="a"/>
    <w:rsid w:val="00233739"/>
    <w:pPr>
      <w:keepNext/>
      <w:numPr>
        <w:ilvl w:val="2"/>
        <w:numId w:val="1"/>
      </w:numPr>
      <w:outlineLvl w:val="2"/>
    </w:pPr>
    <w:rPr>
      <w:color w:val="000000"/>
      <w:sz w:val="20"/>
    </w:rPr>
  </w:style>
  <w:style w:type="paragraph" w:styleId="4">
    <w:name w:val="Note Level 4"/>
    <w:basedOn w:val="a"/>
    <w:rsid w:val="00233739"/>
    <w:pPr>
      <w:keepNext/>
      <w:numPr>
        <w:ilvl w:val="3"/>
        <w:numId w:val="1"/>
      </w:numPr>
      <w:outlineLvl w:val="3"/>
    </w:pPr>
    <w:rPr>
      <w:color w:val="000000"/>
      <w:sz w:val="20"/>
    </w:rPr>
  </w:style>
  <w:style w:type="paragraph" w:styleId="5">
    <w:name w:val="Note Level 5"/>
    <w:basedOn w:val="a"/>
    <w:rsid w:val="00233739"/>
    <w:pPr>
      <w:keepNext/>
      <w:numPr>
        <w:ilvl w:val="4"/>
        <w:numId w:val="1"/>
      </w:numPr>
      <w:outlineLvl w:val="4"/>
    </w:pPr>
    <w:rPr>
      <w:color w:val="000000"/>
      <w:sz w:val="20"/>
    </w:rPr>
  </w:style>
  <w:style w:type="paragraph" w:styleId="6">
    <w:name w:val="Note Level 6"/>
    <w:basedOn w:val="a"/>
    <w:rsid w:val="00233739"/>
    <w:pPr>
      <w:keepNext/>
      <w:numPr>
        <w:ilvl w:val="5"/>
        <w:numId w:val="1"/>
      </w:numPr>
      <w:outlineLvl w:val="5"/>
    </w:pPr>
    <w:rPr>
      <w:color w:val="000000"/>
      <w:sz w:val="20"/>
    </w:rPr>
  </w:style>
  <w:style w:type="paragraph" w:styleId="7">
    <w:name w:val="Note Level 7"/>
    <w:basedOn w:val="a"/>
    <w:rsid w:val="00233739"/>
    <w:pPr>
      <w:keepNext/>
      <w:numPr>
        <w:ilvl w:val="6"/>
        <w:numId w:val="1"/>
      </w:numPr>
      <w:outlineLvl w:val="6"/>
    </w:pPr>
    <w:rPr>
      <w:color w:val="000000"/>
      <w:sz w:val="20"/>
    </w:rPr>
  </w:style>
  <w:style w:type="paragraph" w:styleId="8">
    <w:name w:val="Note Level 8"/>
    <w:basedOn w:val="a"/>
    <w:rsid w:val="00233739"/>
    <w:pPr>
      <w:keepNext/>
      <w:numPr>
        <w:ilvl w:val="7"/>
        <w:numId w:val="1"/>
      </w:numPr>
      <w:outlineLvl w:val="7"/>
    </w:pPr>
    <w:rPr>
      <w:color w:val="000000"/>
      <w:sz w:val="20"/>
    </w:rPr>
  </w:style>
  <w:style w:type="paragraph" w:styleId="9">
    <w:name w:val="Note Level 9"/>
    <w:basedOn w:val="a"/>
    <w:rsid w:val="00233739"/>
    <w:pPr>
      <w:keepNext/>
      <w:numPr>
        <w:ilvl w:val="8"/>
        <w:numId w:val="1"/>
      </w:numPr>
      <w:outlineLvl w:val="8"/>
    </w:pPr>
    <w:rPr>
      <w:color w:val="000000"/>
      <w:sz w:val="20"/>
    </w:rPr>
  </w:style>
  <w:style w:type="table" w:customStyle="1" w:styleId="TableNormal">
    <w:name w:val="Table Normal"/>
    <w:rsid w:val="00371E84"/>
    <w:pPr>
      <w:pBdr>
        <w:top w:val="nil"/>
        <w:left w:val="nil"/>
        <w:bottom w:val="nil"/>
        <w:right w:val="nil"/>
        <w:between w:val="nil"/>
        <w:bar w:val="nil"/>
      </w:pBdr>
    </w:pPr>
    <w:rPr>
      <w:rFonts w:ascii="Times New Roman" w:eastAsiaTheme="minorEastAsia"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3">
    <w:name w:val="フリーフォーム"/>
    <w:rsid w:val="00371E84"/>
    <w:pPr>
      <w:pBdr>
        <w:top w:val="nil"/>
        <w:left w:val="nil"/>
        <w:bottom w:val="nil"/>
        <w:right w:val="nil"/>
        <w:between w:val="nil"/>
        <w:bar w:val="nil"/>
      </w:pBdr>
    </w:pPr>
    <w:rPr>
      <w:rFonts w:ascii="ヒラギノ角ゴ Pro W3" w:eastAsia="ヒラギノ角ゴ Pro W3" w:hAnsi="ヒラギノ角ゴ Pro W3" w:cs="ヒラギノ角ゴ Pro W3"/>
      <w:color w:val="000000"/>
      <w:kern w:val="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1688</Characters>
  <Application>Microsoft Macintosh Word</Application>
  <DocSecurity>0</DocSecurity>
  <Lines>14</Lines>
  <Paragraphs>3</Paragraphs>
  <ScaleCrop>false</ScaleCrop>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勇地</dc:creator>
  <cp:keywords/>
  <dc:description/>
  <cp:lastModifiedBy>関口 勇地</cp:lastModifiedBy>
  <cp:revision>4</cp:revision>
  <dcterms:created xsi:type="dcterms:W3CDTF">2014-12-26T02:06:00Z</dcterms:created>
  <dcterms:modified xsi:type="dcterms:W3CDTF">2015-01-02T03:44:00Z</dcterms:modified>
</cp:coreProperties>
</file>