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7FA3" w14:textId="77777777" w:rsidR="00C70582" w:rsidRDefault="00C70582" w:rsidP="00C705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Supplementary Table </w:t>
      </w:r>
      <w:r w:rsidR="00EC1AB1">
        <w:rPr>
          <w:rFonts w:ascii="Times New Roman"/>
          <w:b/>
          <w:bCs/>
        </w:rPr>
        <w:t>S</w:t>
      </w:r>
      <w:r>
        <w:rPr>
          <w:rFonts w:ascii="Times New Roman"/>
          <w:b/>
          <w:bCs/>
        </w:rPr>
        <w:t xml:space="preserve">5 | </w:t>
      </w:r>
      <w:r>
        <w:rPr>
          <w:rFonts w:ascii="Times New Roman"/>
        </w:rPr>
        <w:t>16S rRNA-targeted fluorescence</w:t>
      </w:r>
      <w:r>
        <w:rPr>
          <w:rFonts w:ascii="Times New Roman"/>
          <w:i/>
          <w:iCs/>
        </w:rPr>
        <w:t xml:space="preserve"> in situ </w:t>
      </w:r>
      <w:r>
        <w:rPr>
          <w:rFonts w:ascii="Times New Roman"/>
        </w:rPr>
        <w:t>hybridization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(FISH) probes used in this study.</w:t>
      </w:r>
    </w:p>
    <w:tbl>
      <w:tblPr>
        <w:tblStyle w:val="TableNormal"/>
        <w:tblW w:w="14550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2685"/>
        <w:gridCol w:w="1939"/>
        <w:gridCol w:w="3428"/>
        <w:gridCol w:w="1530"/>
        <w:gridCol w:w="1401"/>
        <w:gridCol w:w="1351"/>
        <w:gridCol w:w="2216"/>
      </w:tblGrid>
      <w:tr w:rsidR="00C70582" w14:paraId="7F657DAC" w14:textId="77777777" w:rsidTr="003606FC">
        <w:trPr>
          <w:trHeight w:val="550"/>
        </w:trPr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06EB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Probe name</w:t>
            </w:r>
            <w:r>
              <w:rPr>
                <w:rFonts w:ascii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3A4BD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Target group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3CD1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 Probe Sequence (5' to 3')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FAA7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Probe length (nt)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AAF0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Target site (</w:t>
            </w:r>
            <w:r>
              <w:rPr>
                <w:rFonts w:ascii="Arial"/>
                <w:i/>
                <w:iCs/>
                <w:sz w:val="18"/>
                <w:szCs w:val="18"/>
                <w:lang w:val="it-IT"/>
              </w:rPr>
              <w:t>E.coli</w:t>
            </w:r>
            <w:r>
              <w:rPr>
                <w:rFonts w:ascii="Arial"/>
                <w:sz w:val="18"/>
                <w:szCs w:val="18"/>
              </w:rPr>
              <w:t xml:space="preserve"> position)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8A03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Formamide (%)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82D0F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Reference</w:t>
            </w:r>
          </w:p>
        </w:tc>
      </w:tr>
      <w:tr w:rsidR="00C70582" w14:paraId="135920D2" w14:textId="77777777" w:rsidTr="003606FC">
        <w:trPr>
          <w:trHeight w:val="330"/>
        </w:trPr>
        <w:tc>
          <w:tcPr>
            <w:tcW w:w="26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33EE5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EUB338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0CA8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Domain Bacteria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5A5AF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GCTGCCTCCCGTAGGAGT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1F6E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ABF7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338-355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FD1C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FBD2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Amann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1990</w:t>
            </w:r>
          </w:p>
        </w:tc>
      </w:tr>
      <w:tr w:rsidR="00C70582" w14:paraId="45197AF3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CD7F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EUB338-I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67AC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Domain Bacteria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1A9F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GCAGCCTCCCGTAGGAGT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1677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BA6DD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338-355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D2334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C879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Daims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1999</w:t>
            </w:r>
          </w:p>
        </w:tc>
      </w:tr>
      <w:tr w:rsidR="00C70582" w14:paraId="49F3C302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E9BB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EUB338-II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964D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Domain Bacteria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F964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GCAGCCACCCGTAGGTGT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5F944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871C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338-355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0E0F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3342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Daims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1999</w:t>
            </w:r>
          </w:p>
        </w:tc>
      </w:tr>
      <w:tr w:rsidR="00C70582" w14:paraId="12CDD8C8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D0895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EUB338-III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F025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Domain Bacteria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97EA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GCTGCCACCCGTAGGTGT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C853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05453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338-355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F9BA4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2B1D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Daims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1999</w:t>
            </w:r>
          </w:p>
        </w:tc>
      </w:tr>
      <w:tr w:rsidR="00C70582" w14:paraId="5FE380CB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2294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ARC915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7551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Domain Archaea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8901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GTGCTCCCCCGCCAATTCCT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FE2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DF2C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915-935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8B93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6D198" w14:textId="77777777" w:rsidR="00C70582" w:rsidRDefault="00C70582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  <w:lang w:val="de-DE"/>
              </w:rPr>
              <w:t xml:space="preserve">Stahl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al.</w:t>
            </w:r>
            <w:r>
              <w:rPr>
                <w:rFonts w:ascii="Arial"/>
                <w:sz w:val="18"/>
                <w:szCs w:val="18"/>
              </w:rPr>
              <w:t xml:space="preserve"> 1988</w:t>
            </w:r>
          </w:p>
        </w:tc>
      </w:tr>
      <w:tr w:rsidR="00C70582" w14:paraId="1E98820D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0DE03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3KSB129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1F30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Clone YM-1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4460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CCCATCCCGTGGTCGGTT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E69A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73A9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129-136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FFC1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7BA0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es-ES_tradnl"/>
              </w:rPr>
              <w:t xml:space="preserve">Yamada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2007</w:t>
            </w:r>
          </w:p>
        </w:tc>
      </w:tr>
      <w:tr w:rsidR="00C70582" w14:paraId="5062F5FA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1E89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3KSB1238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4C7B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Phylum KSB3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E8FAD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CCGCTGTCCTCCCCATT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A8B4F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F16A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1238-1255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53DB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E6E87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es-ES_tradnl"/>
              </w:rPr>
              <w:t xml:space="preserve">Yamada </w:t>
            </w:r>
            <w:r>
              <w:rPr>
                <w:rFonts w:ascii="Arial"/>
                <w:i/>
                <w:iCs/>
                <w:sz w:val="18"/>
                <w:szCs w:val="18"/>
                <w:lang w:val="nl-NL"/>
              </w:rPr>
              <w:t>et al</w:t>
            </w:r>
            <w:r>
              <w:rPr>
                <w:rFonts w:ascii="Arial"/>
                <w:sz w:val="18"/>
                <w:szCs w:val="18"/>
              </w:rPr>
              <w:t>. 2007</w:t>
            </w:r>
          </w:p>
        </w:tc>
      </w:tr>
      <w:tr w:rsidR="00C70582" w14:paraId="3E443825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355D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KSB3-703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18AD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Phylum KSB3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79998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GACGTTCTTCCTGATCTC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271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3C8FD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703-720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2578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4595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  <w:tr w:rsidR="00C70582" w14:paraId="32C0DCEE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ABF9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it-IT"/>
              </w:rPr>
              <w:t>KSB3-703 helper 1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560D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Phylum KSB3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02504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CCGCTCCACCAGGAATTCCG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8E44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AE2E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672-693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02AC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5491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  <w:tr w:rsidR="00C70582" w14:paraId="6BD52FF2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8627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it-IT"/>
              </w:rPr>
              <w:t>KSB3-703 helper 2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54393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Phylum KSB3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E0C9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CCAGNNNGCCGCCTTCGCCAC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49F98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B554D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722-741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41E9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6B33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  <w:tr w:rsidR="00C70582" w14:paraId="6869663B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D4C4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KSB3MAT644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31E78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Class MAT-CR-H3-D11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4DF1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CGACACTCTAGCCCATCA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FA57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A8DF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644-661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5BD4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B70F6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  <w:tr w:rsidR="00C70582" w14:paraId="171EB963" w14:textId="77777777" w:rsidTr="003606FC">
        <w:trPr>
          <w:trHeight w:val="32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3CF9C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it-IT"/>
              </w:rPr>
              <w:t>KSB3MAT644 helper 1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055E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Class MAT-CR-H3-D11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C9500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GTTTGCACCGCCCTTCCCC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DCF42B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0074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625-643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46A6A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337C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  <w:tr w:rsidR="00C70582" w14:paraId="75F5F4B3" w14:textId="77777777" w:rsidTr="003606FC">
        <w:trPr>
          <w:trHeight w:val="330"/>
        </w:trPr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ACF61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  <w:lang w:val="it-IT"/>
              </w:rPr>
              <w:t>KSB3MAT644 helper 2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2697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Class MAT-CR-H3-D11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5FBE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ACCAGGAATTCCGNNTCCCCCT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D09A2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7617E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663-684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41038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EE7F9" w14:textId="77777777" w:rsidR="00C70582" w:rsidRDefault="00C70582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Present study</w:t>
            </w:r>
          </w:p>
        </w:tc>
      </w:tr>
    </w:tbl>
    <w:p w14:paraId="1FD2732F" w14:textId="77777777" w:rsidR="00C70582" w:rsidRDefault="00C70582" w:rsidP="00C705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a. Probes were labeled with either Alex488 or Cy3 fluophores and probes with different fluophores are simultaneously used for dual probe FISH, as shown in </w:t>
      </w:r>
      <w:r>
        <w:rPr>
          <w:rFonts w:ascii="Times New Roman"/>
          <w:b/>
          <w:bCs/>
          <w:sz w:val="22"/>
          <w:szCs w:val="22"/>
        </w:rPr>
        <w:t>Fig. 1b</w:t>
      </w:r>
      <w:r>
        <w:rPr>
          <w:rFonts w:ascii="Times New Roman"/>
          <w:sz w:val="22"/>
          <w:szCs w:val="22"/>
        </w:rPr>
        <w:t>.</w:t>
      </w:r>
    </w:p>
    <w:p w14:paraId="67999DD3" w14:textId="77777777" w:rsidR="00C70582" w:rsidRDefault="00C70582" w:rsidP="00C705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b. Helper probes were added equimolar with the fluorescent counterparts.  </w:t>
      </w:r>
    </w:p>
    <w:p w14:paraId="47FFA062" w14:textId="77777777" w:rsidR="00FD5AD1" w:rsidRDefault="00FD5AD1" w:rsidP="00C705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E22400"/>
          <w:sz w:val="22"/>
          <w:szCs w:val="22"/>
        </w:rPr>
      </w:pPr>
      <w:bookmarkStart w:id="0" w:name="_GoBack"/>
      <w:bookmarkEnd w:id="0"/>
    </w:p>
    <w:p w14:paraId="58096C53" w14:textId="77777777" w:rsidR="006F11DB" w:rsidRPr="006F11DB" w:rsidRDefault="006F11DB" w:rsidP="00C7058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</w:rPr>
      </w:pPr>
      <w:r w:rsidRPr="006F11DB">
        <w:rPr>
          <w:rFonts w:ascii="Times New Roman" w:eastAsia="Times New Roman" w:hAnsi="Times New Roman" w:cs="Times New Roman"/>
          <w:b/>
        </w:rPr>
        <w:t>References</w:t>
      </w:r>
    </w:p>
    <w:p w14:paraId="106DA00F" w14:textId="77777777" w:rsidR="006F11DB" w:rsidRPr="006F11DB" w:rsidRDefault="006F11DB" w:rsidP="006F11D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  <w:r w:rsidRPr="006F11DB">
        <w:rPr>
          <w:rFonts w:ascii="Times New Roman" w:eastAsia="Times New Roman" w:hAnsi="Times New Roman" w:cs="Times New Roman"/>
        </w:rPr>
        <w:t>Amann, R. I. et al. 1990. Combination of 16S rRNA-targeted oligonucleotide probes with flow cytometry for analyzing mixed microbial populations. Appl Environ Microbiol 56:1919–1925.</w:t>
      </w:r>
    </w:p>
    <w:p w14:paraId="3E9F5514" w14:textId="77777777" w:rsidR="006F11DB" w:rsidRPr="006F11DB" w:rsidRDefault="006F11DB" w:rsidP="006F11D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  <w:r w:rsidRPr="006F11DB">
        <w:rPr>
          <w:rFonts w:ascii="Times New Roman" w:eastAsia="Times New Roman" w:hAnsi="Times New Roman" w:cs="Times New Roman"/>
        </w:rPr>
        <w:t xml:space="preserve">Daims, H., Brühl, A., Amann, R., Schleifer, K. H. &amp; Wagner, M. (1999). The domain-specific probe EUB338 is insufficient for the detection of all Bacteria: development and evaluation of a more comprehensive probe set. Syst Appl Microbiol 22:434–444. </w:t>
      </w:r>
    </w:p>
    <w:p w14:paraId="15B3EC59" w14:textId="77777777" w:rsidR="006F11DB" w:rsidRPr="006F11DB" w:rsidRDefault="006F11DB" w:rsidP="006F11D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  <w:r w:rsidRPr="006F11DB">
        <w:rPr>
          <w:rFonts w:ascii="Times New Roman" w:eastAsia="Times New Roman" w:hAnsi="Times New Roman" w:cs="Times New Roman"/>
        </w:rPr>
        <w:t>Stahl, D. A., Flesher, B., Mansfield, H. R. &amp; Montgomery, L. 1988. Use of phylogenetically based hybridization probes for studies of ruminal microbial ecology. Appl Environ Microbiol 54:1079–1084.</w:t>
      </w:r>
    </w:p>
    <w:p w14:paraId="327EC80F" w14:textId="77777777" w:rsidR="006F11DB" w:rsidRPr="006F11DB" w:rsidRDefault="006F11DB" w:rsidP="006F11D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  <w:r w:rsidRPr="006F11DB">
        <w:rPr>
          <w:rFonts w:ascii="Times New Roman" w:eastAsia="Times New Roman" w:hAnsi="Times New Roman" w:cs="Times New Roman"/>
        </w:rPr>
        <w:lastRenderedPageBreak/>
        <w:t>Yamada, T. et al. 2007. Characterization of filamentous bacteria, belonging to candidate phylum KSB3, that are associated with bulking in methanogenic granular sludges. ISME J 1:246–255.</w:t>
      </w:r>
    </w:p>
    <w:p w14:paraId="0B4899FF" w14:textId="20191820" w:rsidR="00C70582" w:rsidRDefault="00C70582" w:rsidP="006F11D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eastAsia="Times New Roman" w:hAnsi="Times New Roman" w:cs="Times New Roman"/>
        </w:rPr>
        <w:br w:type="page"/>
      </w:r>
    </w:p>
    <w:p w14:paraId="7B488627" w14:textId="77777777" w:rsidR="007D7F9A" w:rsidRDefault="007D7F9A"/>
    <w:sectPr w:rsidR="007D7F9A" w:rsidSect="00C70582">
      <w:pgSz w:w="16820" w:h="11900" w:orient="landscape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行刻">
    <w:altName w:val="ヒラギノ明朝 Pro W3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0CAC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82"/>
    <w:rsid w:val="001D6700"/>
    <w:rsid w:val="00321D00"/>
    <w:rsid w:val="00347E4A"/>
    <w:rsid w:val="00360EEC"/>
    <w:rsid w:val="005648EA"/>
    <w:rsid w:val="006F11DB"/>
    <w:rsid w:val="007D7F9A"/>
    <w:rsid w:val="00821821"/>
    <w:rsid w:val="00845C76"/>
    <w:rsid w:val="00933F42"/>
    <w:rsid w:val="009A1552"/>
    <w:rsid w:val="00A02876"/>
    <w:rsid w:val="00A1475F"/>
    <w:rsid w:val="00A56B93"/>
    <w:rsid w:val="00C03761"/>
    <w:rsid w:val="00C70582"/>
    <w:rsid w:val="00D36C56"/>
    <w:rsid w:val="00EC1AB1"/>
    <w:rsid w:val="00F769B8"/>
    <w:rsid w:val="00FD5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16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C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勇地</dc:creator>
  <cp:keywords/>
  <dc:description/>
  <cp:lastModifiedBy>関口 勇地</cp:lastModifiedBy>
  <cp:revision>5</cp:revision>
  <dcterms:created xsi:type="dcterms:W3CDTF">2014-12-26T02:14:00Z</dcterms:created>
  <dcterms:modified xsi:type="dcterms:W3CDTF">2015-01-02T03:43:00Z</dcterms:modified>
</cp:coreProperties>
</file>