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24" w:rsidRDefault="00311624" w:rsidP="0031162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Supplemental analysis</w:t>
      </w:r>
    </w:p>
    <w:p w:rsidR="00311624" w:rsidRDefault="00311624" w:rsidP="0031162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Objective: </w:t>
      </w:r>
      <w:r w:rsidRPr="00747332">
        <w:rPr>
          <w:rFonts w:ascii="Times New Roman" w:hAnsi="Times New Roman" w:cs="Times New Roman"/>
          <w:sz w:val="24"/>
          <w:szCs w:val="24"/>
        </w:rPr>
        <w:t xml:space="preserve">In the main manuscript we report that implementation of PCMH curricular innovations at the Wright Center for Graduate Medical Education (WCGME), was associated with a </w:t>
      </w:r>
      <w:r w:rsidRPr="0006318C">
        <w:rPr>
          <w:rFonts w:ascii="Times New Roman" w:hAnsi="Times New Roman" w:cs="Times New Roman"/>
          <w:sz w:val="24"/>
          <w:szCs w:val="24"/>
        </w:rPr>
        <w:t>consistent</w:t>
      </w:r>
      <w:r w:rsidRPr="00747332">
        <w:rPr>
          <w:rFonts w:ascii="Times New Roman" w:hAnsi="Times New Roman" w:cs="Times New Roman"/>
          <w:sz w:val="24"/>
          <w:szCs w:val="24"/>
        </w:rPr>
        <w:t xml:space="preserve"> improvement</w:t>
      </w:r>
      <w:r w:rsidRPr="0006318C">
        <w:rPr>
          <w:rFonts w:ascii="Times New Roman" w:hAnsi="Times New Roman" w:cs="Times New Roman"/>
          <w:sz w:val="24"/>
          <w:szCs w:val="24"/>
        </w:rPr>
        <w:t xml:space="preserve"> </w:t>
      </w:r>
      <w:r w:rsidRPr="00747332">
        <w:rPr>
          <w:rFonts w:ascii="Times New Roman" w:hAnsi="Times New Roman" w:cs="Times New Roman"/>
          <w:sz w:val="24"/>
          <w:szCs w:val="24"/>
        </w:rPr>
        <w:t xml:space="preserve">in our </w:t>
      </w:r>
      <w:r w:rsidRPr="0006318C">
        <w:rPr>
          <w:rFonts w:ascii="Times New Roman" w:hAnsi="Times New Roman" w:cs="Times New Roman"/>
          <w:sz w:val="24"/>
          <w:szCs w:val="24"/>
        </w:rPr>
        <w:t xml:space="preserve">Internal Medicine </w:t>
      </w:r>
      <w:r>
        <w:rPr>
          <w:rFonts w:ascii="Times New Roman" w:hAnsi="Times New Roman" w:cs="Times New Roman"/>
          <w:sz w:val="24"/>
          <w:szCs w:val="24"/>
        </w:rPr>
        <w:t xml:space="preserve">(IM) </w:t>
      </w:r>
      <w:r w:rsidRPr="0006318C">
        <w:rPr>
          <w:rFonts w:ascii="Times New Roman" w:hAnsi="Times New Roman" w:cs="Times New Roman"/>
          <w:sz w:val="24"/>
          <w:szCs w:val="24"/>
        </w:rPr>
        <w:t xml:space="preserve">residents’ </w:t>
      </w:r>
      <w:r>
        <w:rPr>
          <w:rFonts w:ascii="Times New Roman" w:hAnsi="Times New Roman" w:cs="Times New Roman"/>
          <w:sz w:val="24"/>
          <w:szCs w:val="24"/>
        </w:rPr>
        <w:t>KSA</w:t>
      </w:r>
      <w:r w:rsidRPr="00747332">
        <w:rPr>
          <w:rFonts w:ascii="Times New Roman" w:hAnsi="Times New Roman" w:cs="Times New Roman"/>
          <w:sz w:val="24"/>
          <w:szCs w:val="24"/>
        </w:rPr>
        <w:t xml:space="preserve">. In the analysis reported below we sought to assess if these improvements in KSA also paralleled objective ACGME </w:t>
      </w:r>
      <w:r>
        <w:rPr>
          <w:rFonts w:ascii="Times New Roman" w:hAnsi="Times New Roman" w:cs="Times New Roman"/>
          <w:sz w:val="24"/>
          <w:szCs w:val="24"/>
        </w:rPr>
        <w:t>core competency based</w:t>
      </w:r>
      <w:r w:rsidRPr="00747332">
        <w:rPr>
          <w:rFonts w:ascii="Times New Roman" w:hAnsi="Times New Roman" w:cs="Times New Roman"/>
          <w:sz w:val="24"/>
          <w:szCs w:val="24"/>
        </w:rPr>
        <w:t xml:space="preserve"> assessments.</w:t>
      </w:r>
    </w:p>
    <w:p w:rsidR="00311624" w:rsidRDefault="00311624" w:rsidP="00311624">
      <w:pPr>
        <w:rPr>
          <w:rFonts w:ascii="Times New Roman" w:hAnsi="Times New Roman" w:cs="Times New Roman"/>
          <w:sz w:val="24"/>
          <w:szCs w:val="24"/>
        </w:rPr>
      </w:pPr>
      <w:r>
        <w:rPr>
          <w:rFonts w:ascii="Times New Roman" w:hAnsi="Times New Roman" w:cs="Times New Roman"/>
          <w:b/>
          <w:bCs/>
          <w:sz w:val="24"/>
          <w:szCs w:val="24"/>
          <w:u w:val="single"/>
        </w:rPr>
        <w:t xml:space="preserve">Study population: </w:t>
      </w:r>
      <w:r>
        <w:rPr>
          <w:rFonts w:ascii="Times New Roman" w:hAnsi="Times New Roman" w:cs="Times New Roman"/>
          <w:sz w:val="24"/>
          <w:szCs w:val="24"/>
        </w:rPr>
        <w:t>Twenty four Internal Medicine residents (2011 THC residents: 12 and 2011 TR residents: 12)</w:t>
      </w:r>
    </w:p>
    <w:p w:rsidR="00311624" w:rsidRDefault="00311624" w:rsidP="00311624">
      <w:pPr>
        <w:rPr>
          <w:rFonts w:ascii="Times New Roman" w:hAnsi="Times New Roman" w:cs="Times New Roman"/>
          <w:sz w:val="24"/>
          <w:szCs w:val="24"/>
        </w:rPr>
      </w:pPr>
      <w:r w:rsidRPr="00747332">
        <w:rPr>
          <w:rFonts w:ascii="Times New Roman" w:hAnsi="Times New Roman" w:cs="Times New Roman"/>
          <w:b/>
          <w:bCs/>
          <w:sz w:val="24"/>
          <w:szCs w:val="24"/>
          <w:u w:val="single"/>
        </w:rPr>
        <w:t>Study tool</w:t>
      </w:r>
      <w:r>
        <w:rPr>
          <w:rFonts w:ascii="Times New Roman" w:hAnsi="Times New Roman" w:cs="Times New Roman"/>
          <w:sz w:val="24"/>
          <w:szCs w:val="24"/>
        </w:rPr>
        <w:t xml:space="preserve">: ACGME core competencies have been reported and explained in detail by Green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al. (</w:t>
      </w:r>
      <w:hyperlink r:id="rId5" w:tooltip="Journal of graduate medical education." w:history="1">
        <w:r w:rsidRPr="00747332">
          <w:rPr>
            <w:rFonts w:ascii="Times New Roman" w:hAnsi="Times New Roman" w:cs="Times New Roman"/>
            <w:sz w:val="24"/>
            <w:szCs w:val="24"/>
          </w:rPr>
          <w:t>J Grad Med Educ.</w:t>
        </w:r>
      </w:hyperlink>
      <w:r>
        <w:rPr>
          <w:rFonts w:ascii="Times New Roman" w:hAnsi="Times New Roman" w:cs="Times New Roman"/>
          <w:sz w:val="24"/>
          <w:szCs w:val="24"/>
        </w:rPr>
        <w:t xml:space="preserve"> 2009</w:t>
      </w:r>
      <w:proofErr w:type="gramStart"/>
      <w:r w:rsidRPr="00747332">
        <w:rPr>
          <w:rFonts w:ascii="Times New Roman" w:hAnsi="Times New Roman" w:cs="Times New Roman"/>
          <w:sz w:val="24"/>
          <w:szCs w:val="24"/>
        </w:rPr>
        <w:t>;1</w:t>
      </w:r>
      <w:proofErr w:type="gramEnd"/>
      <w:r w:rsidRPr="00747332">
        <w:rPr>
          <w:rFonts w:ascii="Times New Roman" w:hAnsi="Times New Roman" w:cs="Times New Roman"/>
          <w:sz w:val="24"/>
          <w:szCs w:val="24"/>
        </w:rPr>
        <w:t>(1):5-20</w:t>
      </w:r>
      <w:r>
        <w:rPr>
          <w:rFonts w:ascii="Times New Roman" w:hAnsi="Times New Roman" w:cs="Times New Roman"/>
          <w:sz w:val="24"/>
          <w:szCs w:val="24"/>
        </w:rPr>
        <w:t>) (reference 1 in this supplemental file). They comprise of 6 competencies:</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Inter-personal communication skills</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Medical Knowledge</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Patient care and procedural skills</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Practice based learning and improvement</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Professionalism</w:t>
      </w:r>
    </w:p>
    <w:p w:rsidR="00311624" w:rsidRDefault="00311624" w:rsidP="00311624">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System based skills</w:t>
      </w:r>
    </w:p>
    <w:p w:rsidR="00311624" w:rsidRDefault="00311624" w:rsidP="00311624">
      <w:pPr>
        <w:rPr>
          <w:rFonts w:ascii="Times New Roman" w:hAnsi="Times New Roman" w:cs="Times New Roman"/>
          <w:sz w:val="24"/>
          <w:szCs w:val="24"/>
        </w:rPr>
      </w:pPr>
      <w:r>
        <w:rPr>
          <w:rFonts w:ascii="Times New Roman" w:hAnsi="Times New Roman" w:cs="Times New Roman"/>
          <w:sz w:val="24"/>
          <w:szCs w:val="24"/>
        </w:rPr>
        <w:t xml:space="preserve">The study residents were assessed based on these 6 competencies at the following points in time during the 3 years of their residency training: 1) December 2011 (baseline assessment); pools all assessments completed between July and December 2011 for both 2011 THC and 2011 TR residents, 2) June 2012: pools all assessments completed between January and June 2012; corresponds to the period of focal implementation of PCMH curricular innovations in the WCGME applied only to 2011 THC residents, 3) December 2012: pools all assessments completed between July and December 2012; corresponds to period of global implementation of PCMH curricular innovations applied on all IM residents (2011 THC residents and 2011 TR residents), 4) June 2014: pools all assessments completed between January and June 2014; corresponds to the time point when the IM residents completed training and graduated in June 2014. All assessments were completed by attending physicians, peers, support staff and extenders responsible for the residents’ training and supervision. The ACGME core competency based assessments were graded between 0 – 5, where 0 represented poor performance and 5 represented superior performance. </w:t>
      </w:r>
    </w:p>
    <w:p w:rsidR="00311624" w:rsidRDefault="00311624" w:rsidP="00311624">
      <w:pPr>
        <w:spacing w:line="240" w:lineRule="auto"/>
        <w:rPr>
          <w:rFonts w:ascii="Times New Roman" w:hAnsi="Times New Roman" w:cs="Times New Roman"/>
          <w:sz w:val="24"/>
          <w:szCs w:val="24"/>
        </w:rPr>
      </w:pPr>
      <w:r w:rsidRPr="00747332">
        <w:rPr>
          <w:rFonts w:ascii="Times New Roman" w:hAnsi="Times New Roman" w:cs="Times New Roman"/>
          <w:b/>
          <w:bCs/>
          <w:sz w:val="24"/>
          <w:szCs w:val="24"/>
          <w:u w:val="single"/>
        </w:rPr>
        <w:lastRenderedPageBreak/>
        <w:t>Statistical analysis</w:t>
      </w:r>
      <w:r>
        <w:rPr>
          <w:rFonts w:ascii="Times New Roman" w:hAnsi="Times New Roman" w:cs="Times New Roman"/>
          <w:sz w:val="24"/>
          <w:szCs w:val="24"/>
        </w:rPr>
        <w:t xml:space="preserve">: mean scores for each of the ACGME core competencies mentioned about were calculated. Since the scores were non-parametrically distributed, continuous variables were compared using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rank sum test and c</w:t>
      </w:r>
      <w:r w:rsidRPr="009B113C">
        <w:rPr>
          <w:rFonts w:ascii="Times New Roman" w:hAnsi="Times New Roman" w:cs="Times New Roman"/>
          <w:sz w:val="24"/>
          <w:szCs w:val="24"/>
        </w:rPr>
        <w:t>ategorical variables were compared between groups using chi-squared test.</w:t>
      </w:r>
      <w:r>
        <w:rPr>
          <w:rFonts w:ascii="Times New Roman" w:hAnsi="Times New Roman" w:cs="Times New Roman"/>
          <w:sz w:val="24"/>
          <w:szCs w:val="24"/>
        </w:rPr>
        <w:t xml:space="preserve"> P &lt; 0.05 was considered statistically significant. </w:t>
      </w:r>
      <w:r w:rsidRPr="009B113C">
        <w:rPr>
          <w:rFonts w:ascii="Times New Roman" w:hAnsi="Times New Roman" w:cs="Times New Roman"/>
          <w:sz w:val="24"/>
          <w:szCs w:val="24"/>
        </w:rPr>
        <w:t>All analyses were performed using STATA 11 statistical software</w:t>
      </w:r>
      <w:r>
        <w:rPr>
          <w:rFonts w:ascii="Times New Roman" w:hAnsi="Times New Roman" w:cs="Times New Roman"/>
          <w:sz w:val="24"/>
          <w:szCs w:val="24"/>
        </w:rPr>
        <w:t xml:space="preserve">. </w:t>
      </w:r>
      <w:r w:rsidRPr="009B113C">
        <w:rPr>
          <w:rFonts w:ascii="Times New Roman" w:hAnsi="Times New Roman" w:cs="Times New Roman"/>
          <w:sz w:val="24"/>
          <w:szCs w:val="24"/>
        </w:rPr>
        <w:t xml:space="preserve">Mean scores for </w:t>
      </w:r>
      <w:r>
        <w:rPr>
          <w:rFonts w:ascii="Times New Roman" w:hAnsi="Times New Roman" w:cs="Times New Roman"/>
          <w:sz w:val="24"/>
          <w:szCs w:val="24"/>
        </w:rPr>
        <w:t xml:space="preserve">ACGME core competencies </w:t>
      </w:r>
      <w:r w:rsidRPr="009B113C">
        <w:rPr>
          <w:rFonts w:ascii="Times New Roman" w:hAnsi="Times New Roman" w:cs="Times New Roman"/>
          <w:sz w:val="24"/>
          <w:szCs w:val="24"/>
        </w:rPr>
        <w:t xml:space="preserve">were compared longitudinally for both 2011 THC and TR residents over 3 years of training at the above defined time points, with comparisons to baseline scores. Between groups cross-sectional comparisons of mean individual </w:t>
      </w:r>
      <w:r>
        <w:rPr>
          <w:rFonts w:ascii="Times New Roman" w:hAnsi="Times New Roman" w:cs="Times New Roman"/>
          <w:sz w:val="24"/>
          <w:szCs w:val="24"/>
        </w:rPr>
        <w:t>ACGME core competency</w:t>
      </w:r>
      <w:r w:rsidRPr="009B113C">
        <w:rPr>
          <w:rFonts w:ascii="Times New Roman" w:hAnsi="Times New Roman" w:cs="Times New Roman"/>
          <w:sz w:val="24"/>
          <w:szCs w:val="24"/>
        </w:rPr>
        <w:t xml:space="preserve"> scores at </w:t>
      </w:r>
      <w:r>
        <w:rPr>
          <w:rFonts w:ascii="Times New Roman" w:hAnsi="Times New Roman" w:cs="Times New Roman"/>
          <w:sz w:val="24"/>
          <w:szCs w:val="24"/>
        </w:rPr>
        <w:t xml:space="preserve">the </w:t>
      </w:r>
      <w:r w:rsidRPr="009B113C">
        <w:rPr>
          <w:rFonts w:ascii="Times New Roman" w:hAnsi="Times New Roman" w:cs="Times New Roman"/>
          <w:sz w:val="24"/>
          <w:szCs w:val="24"/>
        </w:rPr>
        <w:t>defined time points were done for THC and TR residents</w:t>
      </w:r>
      <w:r>
        <w:rPr>
          <w:rFonts w:ascii="Times New Roman" w:hAnsi="Times New Roman" w:cs="Times New Roman"/>
          <w:sz w:val="24"/>
          <w:szCs w:val="24"/>
        </w:rPr>
        <w:t xml:space="preserve">. </w:t>
      </w:r>
    </w:p>
    <w:p w:rsidR="00311624" w:rsidRDefault="00311624" w:rsidP="0031162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Then, the 6 ACGME competencies mentioned above were mapped with each of the 9 KSA mentioned in the main manuscript. This mapping was performed to assess if these ACGME core competency scores correlate with the KSA survey mean scores cross-sectionally at the above mentioned time points. This mapping was subjective as there is no objective report in the literature or by the ACGME, to the best of our knowledge, which had mapped the ACGME core competencies to the KSA. Then the mean scores of the ACGME core competencies mapped to each of the individual KSA were pooled together, averaged and reported as the KSA mapped ACGME competency mean scores and were </w:t>
      </w:r>
      <w:r w:rsidRPr="009B113C">
        <w:rPr>
          <w:rFonts w:ascii="Times New Roman" w:hAnsi="Times New Roman" w:cs="Times New Roman"/>
          <w:sz w:val="24"/>
          <w:szCs w:val="24"/>
        </w:rPr>
        <w:t xml:space="preserve">compared longitudinally for both 2011 THC and TR residents over 3 years of training at the above defined time points, with comparisons to baseline scores. </w:t>
      </w:r>
      <w:r>
        <w:rPr>
          <w:rFonts w:ascii="Times New Roman" w:hAnsi="Times New Roman" w:cs="Times New Roman"/>
          <w:sz w:val="24"/>
          <w:szCs w:val="24"/>
        </w:rPr>
        <w:t>Similarly b</w:t>
      </w:r>
      <w:r w:rsidRPr="009B113C">
        <w:rPr>
          <w:rFonts w:ascii="Times New Roman" w:hAnsi="Times New Roman" w:cs="Times New Roman"/>
          <w:sz w:val="24"/>
          <w:szCs w:val="24"/>
        </w:rPr>
        <w:t xml:space="preserve">etween groups cross-sectional comparisons </w:t>
      </w:r>
      <w:r>
        <w:rPr>
          <w:rFonts w:ascii="Times New Roman" w:hAnsi="Times New Roman" w:cs="Times New Roman"/>
          <w:sz w:val="24"/>
          <w:szCs w:val="24"/>
        </w:rPr>
        <w:t>of KSA mapped ACGME competency mean scores</w:t>
      </w:r>
      <w:r w:rsidRPr="009B113C">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9B113C">
        <w:rPr>
          <w:rFonts w:ascii="Times New Roman" w:hAnsi="Times New Roman" w:cs="Times New Roman"/>
          <w:sz w:val="24"/>
          <w:szCs w:val="24"/>
        </w:rPr>
        <w:t>defined time points were done for THC and TR residents</w:t>
      </w:r>
      <w:r>
        <w:rPr>
          <w:rFonts w:ascii="Times New Roman" w:hAnsi="Times New Roman" w:cs="Times New Roman"/>
          <w:sz w:val="24"/>
          <w:szCs w:val="24"/>
        </w:rPr>
        <w:t xml:space="preserve">. </w:t>
      </w:r>
    </w:p>
    <w:p w:rsidR="00311624" w:rsidRDefault="00311624" w:rsidP="0031162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KSA mapped ACGME competency mean scores were correlated with the cross-sectional KSA survey mean scores (from the main manuscript) at the above defined time points. Pearson’s correlation co-efficient ‘r’ was used to assess the correlation. An ‘r’ value between -1 to 0 was considered negative correlation while a value between 0 and +1 was considered positive correlation. </w:t>
      </w:r>
    </w:p>
    <w:p w:rsidR="00311624" w:rsidRDefault="00311624" w:rsidP="00311624">
      <w:pPr>
        <w:spacing w:line="240" w:lineRule="auto"/>
        <w:rPr>
          <w:rFonts w:ascii="Times New Roman" w:hAnsi="Times New Roman" w:cs="Times New Roman"/>
          <w:sz w:val="24"/>
          <w:szCs w:val="24"/>
        </w:rPr>
      </w:pPr>
      <w:r w:rsidRPr="00747332">
        <w:rPr>
          <w:rFonts w:ascii="Times New Roman" w:hAnsi="Times New Roman" w:cs="Times New Roman"/>
          <w:b/>
          <w:bCs/>
          <w:sz w:val="24"/>
          <w:szCs w:val="24"/>
        </w:rPr>
        <w:t>Results</w:t>
      </w:r>
      <w:r>
        <w:rPr>
          <w:rFonts w:ascii="Times New Roman" w:hAnsi="Times New Roman" w:cs="Times New Roman"/>
          <w:sz w:val="24"/>
          <w:szCs w:val="24"/>
        </w:rPr>
        <w:t xml:space="preserve">: When compared to baseline (December 2011), the THC residents scored similar in all ACGME core competencies by June 2012 but improved in many competencies by December 2012 and sustained these improvements until June 2014 (Supplemental Table 4). The TR residents, when compared to baseline (December 2011) showed improvements as early as June 2012 in some competencies, consistently improved in many other competencies by December 2012 and sustained these improvements until June 2014 (Supplemental Table 5). Cross-sectional comparisons showed that the ACGME competency scores were similar at baseline (December 2011) when THC residents were compared to TR residents (Supplemental Table 6). In June 2012, the mean ACGME core competency scores were similar between the THC and TR residents in most milestones except system based skills (Supplemental Table 6) where TR residents score better. By December 2012, THC and TR residents scored similar in most ACGME core competencies except in patient care, procedural skills, and professionalism where TR residents scored higher than the THC residents. However, by June 2014 the time of training completion, mean scores for all 6 ACGME core competencies were similar when THC residents were compared with TR residents (Supplemental Table 6). </w:t>
      </w:r>
    </w:p>
    <w:p w:rsidR="00311624" w:rsidRDefault="00311624" w:rsidP="0031162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Mapping between the ACGME competencies and KSA are detailed in Supplemental Table 7.  Compared to baseline (December 2011), THC residents showed improvement in a few KSA mapped ACGME competency mean scores (Supplemental </w:t>
      </w:r>
      <w:r>
        <w:rPr>
          <w:rFonts w:ascii="Times New Roman" w:hAnsi="Times New Roman" w:cs="Times New Roman"/>
          <w:sz w:val="24"/>
          <w:szCs w:val="24"/>
        </w:rPr>
        <w:lastRenderedPageBreak/>
        <w:t xml:space="preserve">Table 8) by June 2012. By December 2012, they improved on several others and sustained the improvement until June 2014 (Supplemental Table 8). The TR residents scored similar to baseline on KSA mapped ACGME competency mean scores by June 2012, but improved in several competencies by December 2012 and maintained the improvement until June 2014 (Supplemental Table 9). Cross sectional comparisons between THC and TR residents showed similar scores at defined time points </w:t>
      </w:r>
      <w:proofErr w:type="gramStart"/>
      <w:r>
        <w:rPr>
          <w:rFonts w:ascii="Times New Roman" w:hAnsi="Times New Roman" w:cs="Times New Roman"/>
          <w:sz w:val="24"/>
          <w:szCs w:val="24"/>
        </w:rPr>
        <w:t>for  KSA</w:t>
      </w:r>
      <w:proofErr w:type="gramEnd"/>
      <w:r>
        <w:rPr>
          <w:rFonts w:ascii="Times New Roman" w:hAnsi="Times New Roman" w:cs="Times New Roman"/>
          <w:sz w:val="24"/>
          <w:szCs w:val="24"/>
        </w:rPr>
        <w:t xml:space="preserve"> mapped ACGME competency mean scores (Supplemental Table 10). Correlation analysis assessing the correlation between KSA survey mean scores and KSA mapped ACGME competency mean scores showed positive correlation (r between 0 to +1) in most comparisons with some reaching statistical significance for both THC and TR residents by December 2012 and by June 2014 (Supplemental Table 11</w:t>
      </w:r>
      <w:r>
        <w:rPr>
          <w:rFonts w:ascii="Times New Roman" w:hAnsi="Times New Roman" w:cs="Times New Roman"/>
          <w:sz w:val="24"/>
          <w:szCs w:val="24"/>
        </w:rPr>
        <w:t xml:space="preserve">, Supplemental Table 12, Supplemental Table 13 and Supplemental Table </w:t>
      </w:r>
      <w:r>
        <w:rPr>
          <w:rFonts w:ascii="Times New Roman" w:hAnsi="Times New Roman" w:cs="Times New Roman"/>
          <w:sz w:val="24"/>
          <w:szCs w:val="24"/>
        </w:rPr>
        <w:t>14).</w:t>
      </w:r>
    </w:p>
    <w:p w:rsidR="00311624" w:rsidRDefault="00311624" w:rsidP="00311624">
      <w:pPr>
        <w:spacing w:line="240" w:lineRule="auto"/>
        <w:rPr>
          <w:rFonts w:ascii="Times New Roman" w:hAnsi="Times New Roman" w:cs="Times New Roman"/>
          <w:sz w:val="24"/>
          <w:szCs w:val="24"/>
        </w:rPr>
      </w:pPr>
      <w:r w:rsidRPr="00747332">
        <w:rPr>
          <w:rFonts w:ascii="Times New Roman" w:hAnsi="Times New Roman" w:cs="Times New Roman"/>
          <w:b/>
          <w:bCs/>
          <w:sz w:val="24"/>
          <w:szCs w:val="24"/>
        </w:rPr>
        <w:t>Interpretation</w:t>
      </w:r>
      <w:r>
        <w:rPr>
          <w:rFonts w:ascii="Times New Roman" w:hAnsi="Times New Roman" w:cs="Times New Roman"/>
          <w:sz w:val="24"/>
          <w:szCs w:val="24"/>
        </w:rPr>
        <w:t xml:space="preserve">: Our analysis shows that 2011 THC and TR residents showed improvement in ACGME core competencies by December 2012. These improvements in scores were sustained by both THC and TR residents until completion of their training. There were positive correlations between KSA </w:t>
      </w:r>
      <w:proofErr w:type="gramStart"/>
      <w:r>
        <w:rPr>
          <w:rFonts w:ascii="Times New Roman" w:hAnsi="Times New Roman" w:cs="Times New Roman"/>
          <w:sz w:val="24"/>
          <w:szCs w:val="24"/>
        </w:rPr>
        <w:t>survey</w:t>
      </w:r>
      <w:proofErr w:type="gramEnd"/>
      <w:r>
        <w:rPr>
          <w:rFonts w:ascii="Times New Roman" w:hAnsi="Times New Roman" w:cs="Times New Roman"/>
          <w:sz w:val="24"/>
          <w:szCs w:val="24"/>
        </w:rPr>
        <w:t xml:space="preserve"> mean scores and KSA mapped ACGME competency mean scores for most comparisons in both 2011 THC and TR residents by December 2012 and sustained until June 2014. </w:t>
      </w:r>
    </w:p>
    <w:p w:rsidR="00311624" w:rsidRDefault="00311624" w:rsidP="00311624">
      <w:pPr>
        <w:spacing w:line="240" w:lineRule="auto"/>
        <w:rPr>
          <w:rFonts w:ascii="Times New Roman" w:hAnsi="Times New Roman" w:cs="Times New Roman"/>
          <w:sz w:val="24"/>
          <w:szCs w:val="24"/>
        </w:rPr>
      </w:pPr>
      <w:r w:rsidRPr="00747332">
        <w:rPr>
          <w:rFonts w:ascii="Times New Roman" w:hAnsi="Times New Roman" w:cs="Times New Roman"/>
          <w:b/>
          <w:bCs/>
          <w:sz w:val="24"/>
          <w:szCs w:val="24"/>
        </w:rPr>
        <w:t>Limitations of these analyses</w:t>
      </w:r>
      <w:r>
        <w:rPr>
          <w:rFonts w:ascii="Times New Roman" w:hAnsi="Times New Roman" w:cs="Times New Roman"/>
          <w:sz w:val="24"/>
          <w:szCs w:val="24"/>
        </w:rPr>
        <w:t xml:space="preserve">: The mapping between KSA survey scores and KSA mapped ACGME competency mean scores were subjective as there is a lack of objective mapping reported in the literature. Also, the strengths of correlation were weak, though positive, for some of the competencies. </w:t>
      </w:r>
    </w:p>
    <w:p w:rsidR="00311624" w:rsidRDefault="00311624" w:rsidP="003116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332">
        <w:rPr>
          <w:rFonts w:ascii="Times New Roman" w:hAnsi="Times New Roman" w:cs="Times New Roman"/>
          <w:b/>
          <w:bCs/>
          <w:sz w:val="24"/>
          <w:szCs w:val="24"/>
        </w:rPr>
        <w:t>Reference</w:t>
      </w:r>
      <w:r>
        <w:rPr>
          <w:rFonts w:ascii="Times New Roman" w:hAnsi="Times New Roman" w:cs="Times New Roman"/>
          <w:sz w:val="24"/>
          <w:szCs w:val="24"/>
        </w:rPr>
        <w:t>:</w:t>
      </w:r>
    </w:p>
    <w:p w:rsidR="00B44883" w:rsidRDefault="00311624" w:rsidP="00013A76">
      <w:pPr>
        <w:numPr>
          <w:ilvl w:val="0"/>
          <w:numId w:val="2"/>
        </w:numPr>
        <w:spacing w:line="240" w:lineRule="auto"/>
      </w:pPr>
      <w:hyperlink r:id="rId6" w:history="1">
        <w:r w:rsidRPr="00013A76">
          <w:rPr>
            <w:rFonts w:ascii="Times New Roman" w:hAnsi="Times New Roman" w:cs="Times New Roman"/>
            <w:sz w:val="24"/>
            <w:szCs w:val="24"/>
          </w:rPr>
          <w:t>Green ML</w:t>
        </w:r>
      </w:hyperlink>
      <w:r w:rsidRPr="00013A76">
        <w:rPr>
          <w:rFonts w:ascii="Times New Roman" w:hAnsi="Times New Roman" w:cs="Times New Roman"/>
          <w:sz w:val="24"/>
          <w:szCs w:val="24"/>
        </w:rPr>
        <w:t xml:space="preserve">, </w:t>
      </w:r>
      <w:hyperlink r:id="rId7" w:history="1">
        <w:proofErr w:type="spellStart"/>
        <w:r w:rsidRPr="00013A76">
          <w:rPr>
            <w:rFonts w:ascii="Times New Roman" w:hAnsi="Times New Roman" w:cs="Times New Roman"/>
            <w:sz w:val="24"/>
            <w:szCs w:val="24"/>
          </w:rPr>
          <w:t>Aagaard</w:t>
        </w:r>
        <w:proofErr w:type="spellEnd"/>
        <w:r w:rsidRPr="00013A76">
          <w:rPr>
            <w:rFonts w:ascii="Times New Roman" w:hAnsi="Times New Roman" w:cs="Times New Roman"/>
            <w:sz w:val="24"/>
            <w:szCs w:val="24"/>
          </w:rPr>
          <w:t xml:space="preserve"> EM</w:t>
        </w:r>
      </w:hyperlink>
      <w:r w:rsidRPr="00013A76">
        <w:rPr>
          <w:rFonts w:ascii="Times New Roman" w:hAnsi="Times New Roman" w:cs="Times New Roman"/>
          <w:sz w:val="24"/>
          <w:szCs w:val="24"/>
        </w:rPr>
        <w:t xml:space="preserve">, </w:t>
      </w:r>
      <w:hyperlink r:id="rId8" w:history="1">
        <w:proofErr w:type="spellStart"/>
        <w:r w:rsidRPr="00013A76">
          <w:rPr>
            <w:rFonts w:ascii="Times New Roman" w:hAnsi="Times New Roman" w:cs="Times New Roman"/>
            <w:sz w:val="24"/>
            <w:szCs w:val="24"/>
          </w:rPr>
          <w:t>Caverzagie</w:t>
        </w:r>
        <w:proofErr w:type="spellEnd"/>
        <w:r w:rsidRPr="00013A76">
          <w:rPr>
            <w:rFonts w:ascii="Times New Roman" w:hAnsi="Times New Roman" w:cs="Times New Roman"/>
            <w:sz w:val="24"/>
            <w:szCs w:val="24"/>
          </w:rPr>
          <w:t xml:space="preserve"> KJ</w:t>
        </w:r>
      </w:hyperlink>
      <w:r w:rsidRPr="00013A76">
        <w:rPr>
          <w:rFonts w:ascii="Times New Roman" w:hAnsi="Times New Roman" w:cs="Times New Roman"/>
          <w:sz w:val="24"/>
          <w:szCs w:val="24"/>
        </w:rPr>
        <w:t xml:space="preserve">, </w:t>
      </w:r>
      <w:hyperlink r:id="rId9" w:history="1">
        <w:r w:rsidRPr="00013A76">
          <w:rPr>
            <w:rFonts w:ascii="Times New Roman" w:hAnsi="Times New Roman" w:cs="Times New Roman"/>
            <w:sz w:val="24"/>
            <w:szCs w:val="24"/>
          </w:rPr>
          <w:t>Chick DA</w:t>
        </w:r>
      </w:hyperlink>
      <w:r w:rsidRPr="00013A76">
        <w:rPr>
          <w:rFonts w:ascii="Times New Roman" w:hAnsi="Times New Roman" w:cs="Times New Roman"/>
          <w:sz w:val="24"/>
          <w:szCs w:val="24"/>
        </w:rPr>
        <w:t xml:space="preserve">, </w:t>
      </w:r>
      <w:hyperlink r:id="rId10" w:history="1">
        <w:proofErr w:type="spellStart"/>
        <w:r w:rsidRPr="00013A76">
          <w:rPr>
            <w:rFonts w:ascii="Times New Roman" w:hAnsi="Times New Roman" w:cs="Times New Roman"/>
            <w:sz w:val="24"/>
            <w:szCs w:val="24"/>
          </w:rPr>
          <w:t>Holmboe</w:t>
        </w:r>
        <w:proofErr w:type="spellEnd"/>
        <w:r w:rsidRPr="00013A76">
          <w:rPr>
            <w:rFonts w:ascii="Times New Roman" w:hAnsi="Times New Roman" w:cs="Times New Roman"/>
            <w:sz w:val="24"/>
            <w:szCs w:val="24"/>
          </w:rPr>
          <w:t xml:space="preserve"> E</w:t>
        </w:r>
      </w:hyperlink>
      <w:r w:rsidRPr="00013A76">
        <w:rPr>
          <w:rFonts w:ascii="Times New Roman" w:hAnsi="Times New Roman" w:cs="Times New Roman"/>
          <w:sz w:val="24"/>
          <w:szCs w:val="24"/>
        </w:rPr>
        <w:t xml:space="preserve">, </w:t>
      </w:r>
      <w:hyperlink r:id="rId11" w:history="1">
        <w:r w:rsidRPr="00013A76">
          <w:rPr>
            <w:rFonts w:ascii="Times New Roman" w:hAnsi="Times New Roman" w:cs="Times New Roman"/>
            <w:sz w:val="24"/>
            <w:szCs w:val="24"/>
          </w:rPr>
          <w:t>Kane G</w:t>
        </w:r>
      </w:hyperlink>
      <w:r w:rsidRPr="00013A76">
        <w:rPr>
          <w:rFonts w:ascii="Times New Roman" w:hAnsi="Times New Roman" w:cs="Times New Roman"/>
          <w:sz w:val="24"/>
          <w:szCs w:val="24"/>
        </w:rPr>
        <w:t xml:space="preserve">, </w:t>
      </w:r>
      <w:hyperlink r:id="rId12" w:history="1">
        <w:r w:rsidRPr="00013A76">
          <w:rPr>
            <w:rFonts w:ascii="Times New Roman" w:hAnsi="Times New Roman" w:cs="Times New Roman"/>
            <w:sz w:val="24"/>
            <w:szCs w:val="24"/>
          </w:rPr>
          <w:t>Smith CD</w:t>
        </w:r>
      </w:hyperlink>
      <w:r w:rsidRPr="00013A76">
        <w:rPr>
          <w:rFonts w:ascii="Times New Roman" w:hAnsi="Times New Roman" w:cs="Times New Roman"/>
          <w:sz w:val="24"/>
          <w:szCs w:val="24"/>
        </w:rPr>
        <w:t xml:space="preserve">, </w:t>
      </w:r>
      <w:hyperlink r:id="rId13" w:history="1">
        <w:proofErr w:type="spellStart"/>
        <w:r w:rsidRPr="00013A76">
          <w:rPr>
            <w:rFonts w:ascii="Times New Roman" w:hAnsi="Times New Roman" w:cs="Times New Roman"/>
            <w:sz w:val="24"/>
            <w:szCs w:val="24"/>
          </w:rPr>
          <w:t>Iobst</w:t>
        </w:r>
        <w:proofErr w:type="spellEnd"/>
        <w:r w:rsidRPr="00013A76">
          <w:rPr>
            <w:rFonts w:ascii="Times New Roman" w:hAnsi="Times New Roman" w:cs="Times New Roman"/>
            <w:sz w:val="24"/>
            <w:szCs w:val="24"/>
          </w:rPr>
          <w:t xml:space="preserve"> W</w:t>
        </w:r>
      </w:hyperlink>
      <w:r w:rsidRPr="00013A76">
        <w:rPr>
          <w:rFonts w:ascii="Times New Roman" w:hAnsi="Times New Roman" w:cs="Times New Roman"/>
          <w:sz w:val="24"/>
          <w:szCs w:val="24"/>
        </w:rPr>
        <w:t xml:space="preserve">. Charting the road to competence: developmental milestones for internal medicine residency training. </w:t>
      </w:r>
      <w:hyperlink r:id="rId14" w:tooltip="Journal of graduate medical education." w:history="1">
        <w:r w:rsidRPr="00013A76">
          <w:rPr>
            <w:rFonts w:ascii="Times New Roman" w:hAnsi="Times New Roman" w:cs="Times New Roman"/>
            <w:sz w:val="24"/>
            <w:szCs w:val="24"/>
          </w:rPr>
          <w:t>J Grad Med Educ.</w:t>
        </w:r>
      </w:hyperlink>
      <w:r w:rsidRPr="00013A76">
        <w:rPr>
          <w:rFonts w:ascii="Times New Roman" w:hAnsi="Times New Roman" w:cs="Times New Roman"/>
          <w:sz w:val="24"/>
          <w:szCs w:val="24"/>
        </w:rPr>
        <w:t xml:space="preserve"> 2009</w:t>
      </w:r>
      <w:proofErr w:type="gramStart"/>
      <w:r w:rsidRPr="00013A76">
        <w:rPr>
          <w:rFonts w:ascii="Times New Roman" w:hAnsi="Times New Roman" w:cs="Times New Roman"/>
          <w:sz w:val="24"/>
          <w:szCs w:val="24"/>
        </w:rPr>
        <w:t>;1</w:t>
      </w:r>
      <w:proofErr w:type="gramEnd"/>
      <w:r w:rsidRPr="00013A76">
        <w:rPr>
          <w:rFonts w:ascii="Times New Roman" w:hAnsi="Times New Roman" w:cs="Times New Roman"/>
          <w:sz w:val="24"/>
          <w:szCs w:val="24"/>
        </w:rPr>
        <w:t xml:space="preserve">(1):5-20. </w:t>
      </w:r>
    </w:p>
    <w:sectPr w:rsidR="00B44883" w:rsidSect="0031162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862"/>
    <w:multiLevelType w:val="hybridMultilevel"/>
    <w:tmpl w:val="3746D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774C"/>
    <w:multiLevelType w:val="hybridMultilevel"/>
    <w:tmpl w:val="F3D02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311624"/>
    <w:rsid w:val="00013A76"/>
    <w:rsid w:val="00311624"/>
    <w:rsid w:val="00B4488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24"/>
    <w:rPr>
      <w:rFonts w:ascii="Calibri" w:eastAsia="Calibri"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averzagie%20KJ%5BAuthor%5D&amp;cauthor=true&amp;cauthor_uid=21975701" TargetMode="External"/><Relationship Id="rId13" Type="http://schemas.openxmlformats.org/officeDocument/2006/relationships/hyperlink" Target="http://www.ncbi.nlm.nih.gov/pubmed/?term=Iobst%20W%5BAuthor%5D&amp;cauthor=true&amp;cauthor_uid=21975701" TargetMode="External"/><Relationship Id="rId3" Type="http://schemas.openxmlformats.org/officeDocument/2006/relationships/settings" Target="settings.xml"/><Relationship Id="rId7" Type="http://schemas.openxmlformats.org/officeDocument/2006/relationships/hyperlink" Target="http://www.ncbi.nlm.nih.gov/pubmed/?term=Aagaard%20EM%5BAuthor%5D&amp;cauthor=true&amp;cauthor_uid=21975701" TargetMode="External"/><Relationship Id="rId12" Type="http://schemas.openxmlformats.org/officeDocument/2006/relationships/hyperlink" Target="http://www.ncbi.nlm.nih.gov/pubmed/?term=Smith%20CD%5BAuthor%5D&amp;cauthor=true&amp;cauthor_uid=219757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Green%20ML%5BAuthor%5D&amp;cauthor=true&amp;cauthor_uid=21975701" TargetMode="External"/><Relationship Id="rId11" Type="http://schemas.openxmlformats.org/officeDocument/2006/relationships/hyperlink" Target="http://www.ncbi.nlm.nih.gov/pubmed/?term=Kane%20G%5BAuthor%5D&amp;cauthor=true&amp;cauthor_uid=21975701" TargetMode="External"/><Relationship Id="rId5" Type="http://schemas.openxmlformats.org/officeDocument/2006/relationships/hyperlink" Target="http://www.ncbi.nlm.nih.gov/pubmed/?term=Charting+the+Road+to+Competence%3ADevelopmental+Milestones+for+Internal" TargetMode="External"/><Relationship Id="rId15" Type="http://schemas.openxmlformats.org/officeDocument/2006/relationships/fontTable" Target="fontTable.xml"/><Relationship Id="rId10" Type="http://schemas.openxmlformats.org/officeDocument/2006/relationships/hyperlink" Target="http://www.ncbi.nlm.nih.gov/pubmed/?term=Holmboe%20E%5BAuthor%5D&amp;cauthor=true&amp;cauthor_uid=21975701" TargetMode="External"/><Relationship Id="rId4" Type="http://schemas.openxmlformats.org/officeDocument/2006/relationships/webSettings" Target="webSettings.xml"/><Relationship Id="rId9" Type="http://schemas.openxmlformats.org/officeDocument/2006/relationships/hyperlink" Target="http://www.ncbi.nlm.nih.gov/pubmed/?term=Chick%20DA%5BAuthor%5D&amp;cauthor=true&amp;cauthor_uid=21975701" TargetMode="External"/><Relationship Id="rId14" Type="http://schemas.openxmlformats.org/officeDocument/2006/relationships/hyperlink" Target="http://www.ncbi.nlm.nih.gov/pubmed/?term=Charting+the+Road+to+Competence%3ADevelopmental+Milestones+for+In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Anita A. Kumar</dc:creator>
  <cp:lastModifiedBy>Dr. Anita A. Kumar</cp:lastModifiedBy>
  <cp:revision>2</cp:revision>
  <dcterms:created xsi:type="dcterms:W3CDTF">2015-01-21T02:59:00Z</dcterms:created>
  <dcterms:modified xsi:type="dcterms:W3CDTF">2015-01-21T03:02:00Z</dcterms:modified>
</cp:coreProperties>
</file>