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BF" w:rsidRPr="00E03CA6" w:rsidRDefault="00F624BF" w:rsidP="00F624BF">
      <w:pPr>
        <w:pStyle w:val="Newparagraph"/>
        <w:spacing w:before="160"/>
        <w:ind w:left="284" w:hanging="284"/>
        <w:jc w:val="both"/>
        <w:rPr>
          <w:b/>
          <w:sz w:val="22"/>
          <w:lang w:val="en-US"/>
        </w:rPr>
      </w:pPr>
      <w:r w:rsidRPr="00E03CA6">
        <w:rPr>
          <w:b/>
          <w:sz w:val="22"/>
          <w:lang w:val="en-US"/>
        </w:rPr>
        <w:t>Supplemental material</w:t>
      </w:r>
    </w:p>
    <w:p w:rsidR="00F624BF" w:rsidRPr="00E03CA6" w:rsidRDefault="00F624BF" w:rsidP="00F624BF">
      <w:pPr>
        <w:pStyle w:val="Paragraph"/>
        <w:spacing w:before="160"/>
        <w:ind w:firstLine="709"/>
        <w:jc w:val="both"/>
        <w:rPr>
          <w:sz w:val="22"/>
          <w:szCs w:val="22"/>
          <w:lang w:val="en-US"/>
        </w:rPr>
      </w:pPr>
      <w:r w:rsidRPr="00E03CA6">
        <w:rPr>
          <w:sz w:val="22"/>
          <w:lang w:val="en-US"/>
        </w:rPr>
        <w:t xml:space="preserve">Table S1 </w:t>
      </w:r>
      <w:r>
        <w:rPr>
          <w:sz w:val="22"/>
          <w:lang w:val="en-US"/>
        </w:rPr>
        <w:t>provides</w:t>
      </w:r>
      <w:r w:rsidRPr="00E03CA6">
        <w:rPr>
          <w:sz w:val="22"/>
          <w:lang w:val="en-US"/>
        </w:rPr>
        <w:t xml:space="preserve"> the accuracy </w:t>
      </w:r>
      <w:r>
        <w:rPr>
          <w:sz w:val="22"/>
          <w:lang w:val="en-US"/>
        </w:rPr>
        <w:t xml:space="preserve">scores and correct RTs per </w:t>
      </w:r>
      <w:r w:rsidRPr="00E03CA6">
        <w:rPr>
          <w:sz w:val="22"/>
          <w:lang w:val="en-US"/>
        </w:rPr>
        <w:t xml:space="preserve">condition </w:t>
      </w:r>
      <w:r>
        <w:rPr>
          <w:sz w:val="22"/>
          <w:lang w:val="en-US"/>
        </w:rPr>
        <w:t xml:space="preserve">along with </w:t>
      </w:r>
      <w:r w:rsidRPr="00E03CA6">
        <w:rPr>
          <w:sz w:val="22"/>
          <w:lang w:val="en-US"/>
        </w:rPr>
        <w:t xml:space="preserve">95% </w:t>
      </w:r>
      <w:r>
        <w:rPr>
          <w:sz w:val="22"/>
          <w:lang w:val="en-US"/>
        </w:rPr>
        <w:t xml:space="preserve">bootstrapped </w:t>
      </w:r>
      <w:r w:rsidRPr="00E03CA6">
        <w:rPr>
          <w:sz w:val="22"/>
          <w:lang w:val="en-US"/>
        </w:rPr>
        <w:t>confidence interval</w:t>
      </w:r>
      <w:r>
        <w:rPr>
          <w:sz w:val="22"/>
          <w:lang w:val="en-US"/>
        </w:rPr>
        <w:t>s. These were</w:t>
      </w:r>
      <w:r w:rsidRPr="00E03CA6">
        <w:rPr>
          <w:sz w:val="22"/>
          <w:lang w:val="en-US"/>
        </w:rPr>
        <w:t xml:space="preserve"> obtained</w:t>
      </w:r>
      <w:r>
        <w:rPr>
          <w:sz w:val="22"/>
          <w:lang w:val="en-US"/>
        </w:rPr>
        <w:t xml:space="preserve"> per condition and group by randomly sampling subjects with replacement; th</w:t>
      </w:r>
      <w:r w:rsidRPr="00E03CA6">
        <w:rPr>
          <w:sz w:val="22"/>
          <w:szCs w:val="22"/>
          <w:lang w:val="en-US"/>
        </w:rPr>
        <w:t xml:space="preserve">is process was repeated 999 times, leading to a distribution of bootstrapped estimates of the mean accuracy and RT </w:t>
      </w:r>
      <w:r>
        <w:rPr>
          <w:sz w:val="22"/>
          <w:szCs w:val="22"/>
          <w:lang w:val="en-US"/>
        </w:rPr>
        <w:t>for</w:t>
      </w:r>
      <w:r w:rsidRPr="00E03CA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each </w:t>
      </w:r>
      <w:r w:rsidRPr="00E03CA6">
        <w:rPr>
          <w:sz w:val="22"/>
          <w:szCs w:val="22"/>
          <w:lang w:val="en-US"/>
        </w:rPr>
        <w:t xml:space="preserve">condition. </w:t>
      </w:r>
      <w:r>
        <w:rPr>
          <w:sz w:val="22"/>
          <w:szCs w:val="22"/>
          <w:lang w:val="en-US"/>
        </w:rPr>
        <w:t>Accuracy scores</w:t>
      </w:r>
      <w:r w:rsidRPr="00E03CA6">
        <w:rPr>
          <w:sz w:val="22"/>
          <w:szCs w:val="22"/>
          <w:lang w:val="en-US"/>
        </w:rPr>
        <w:t xml:space="preserve"> were considered above chance and below ceiling if the confidence intervals did not contain .5 </w:t>
      </w:r>
      <w:proofErr w:type="gramStart"/>
      <w:r w:rsidRPr="00E03CA6">
        <w:rPr>
          <w:sz w:val="22"/>
          <w:szCs w:val="22"/>
          <w:lang w:val="en-US"/>
        </w:rPr>
        <w:t>nor</w:t>
      </w:r>
      <w:proofErr w:type="gramEnd"/>
      <w:r w:rsidRPr="00E03CA6">
        <w:rPr>
          <w:sz w:val="22"/>
          <w:szCs w:val="22"/>
          <w:lang w:val="en-US"/>
        </w:rPr>
        <w:t xml:space="preserve"> 1, which was the case </w:t>
      </w:r>
      <w:r>
        <w:rPr>
          <w:sz w:val="22"/>
          <w:szCs w:val="22"/>
          <w:lang w:val="en-US"/>
        </w:rPr>
        <w:t>across groups and experimental conditions</w:t>
      </w:r>
      <w:r w:rsidRPr="00E03CA6">
        <w:rPr>
          <w:sz w:val="22"/>
          <w:szCs w:val="22"/>
          <w:lang w:val="en-US"/>
        </w:rPr>
        <w:t>.</w:t>
      </w:r>
    </w:p>
    <w:p w:rsidR="00F624BF" w:rsidRPr="002371F5" w:rsidRDefault="00F624BF" w:rsidP="00F624BF">
      <w:pPr>
        <w:pStyle w:val="Caption"/>
        <w:rPr>
          <w:b w:val="0"/>
          <w:color w:val="auto"/>
          <w:sz w:val="20"/>
          <w:szCs w:val="20"/>
          <w:lang w:val="en-US"/>
        </w:rPr>
      </w:pPr>
      <w:bookmarkStart w:id="0" w:name="_Ref423424502"/>
      <w:r w:rsidRPr="00513B58">
        <w:rPr>
          <w:b w:val="0"/>
          <w:color w:val="auto"/>
          <w:sz w:val="20"/>
          <w:szCs w:val="20"/>
          <w:lang w:val="en-US"/>
        </w:rPr>
        <w:t>Table S</w:t>
      </w:r>
      <w:r w:rsidRPr="00E03CA6">
        <w:rPr>
          <w:b w:val="0"/>
          <w:color w:val="auto"/>
          <w:sz w:val="20"/>
          <w:szCs w:val="20"/>
        </w:rPr>
        <w:fldChar w:fldCharType="begin"/>
      </w:r>
      <w:r w:rsidRPr="00513B58">
        <w:rPr>
          <w:b w:val="0"/>
          <w:color w:val="auto"/>
          <w:sz w:val="20"/>
          <w:szCs w:val="20"/>
          <w:lang w:val="en-US"/>
        </w:rPr>
        <w:instrText xml:space="preserve"> SEQ Table \* ARABIC </w:instrText>
      </w:r>
      <w:r w:rsidRPr="00E03CA6">
        <w:rPr>
          <w:b w:val="0"/>
          <w:color w:val="auto"/>
          <w:sz w:val="20"/>
          <w:szCs w:val="20"/>
        </w:rPr>
        <w:fldChar w:fldCharType="separate"/>
      </w:r>
      <w:r>
        <w:rPr>
          <w:b w:val="0"/>
          <w:noProof/>
          <w:color w:val="auto"/>
          <w:sz w:val="20"/>
          <w:szCs w:val="20"/>
          <w:lang w:val="en-US"/>
        </w:rPr>
        <w:t>1</w:t>
      </w:r>
      <w:r w:rsidRPr="00E03CA6">
        <w:rPr>
          <w:b w:val="0"/>
          <w:color w:val="auto"/>
          <w:sz w:val="20"/>
          <w:szCs w:val="20"/>
        </w:rPr>
        <w:fldChar w:fldCharType="end"/>
      </w:r>
      <w:bookmarkEnd w:id="0"/>
      <w:r w:rsidRPr="00513B58">
        <w:rPr>
          <w:b w:val="0"/>
          <w:color w:val="auto"/>
          <w:sz w:val="20"/>
          <w:szCs w:val="20"/>
          <w:lang w:val="en-US"/>
        </w:rPr>
        <w:t xml:space="preserve">. </w:t>
      </w:r>
      <w:r w:rsidRPr="00E03CA6">
        <w:rPr>
          <w:b w:val="0"/>
          <w:color w:val="auto"/>
          <w:sz w:val="20"/>
          <w:szCs w:val="20"/>
          <w:lang w:val="en-US"/>
        </w:rPr>
        <w:t>Average accuracy</w:t>
      </w:r>
      <w:r>
        <w:rPr>
          <w:b w:val="0"/>
          <w:color w:val="auto"/>
          <w:sz w:val="20"/>
          <w:szCs w:val="20"/>
          <w:lang w:val="en-US"/>
        </w:rPr>
        <w:t xml:space="preserve"> scores</w:t>
      </w:r>
      <w:r w:rsidRPr="00E03CA6">
        <w:rPr>
          <w:b w:val="0"/>
          <w:color w:val="auto"/>
          <w:sz w:val="20"/>
          <w:szCs w:val="20"/>
          <w:lang w:val="en-US"/>
        </w:rPr>
        <w:t xml:space="preserve"> and RT</w:t>
      </w:r>
      <w:r>
        <w:rPr>
          <w:b w:val="0"/>
          <w:color w:val="auto"/>
          <w:sz w:val="20"/>
          <w:szCs w:val="20"/>
          <w:lang w:val="en-US"/>
        </w:rPr>
        <w:t xml:space="preserve">s in </w:t>
      </w:r>
      <w:proofErr w:type="spellStart"/>
      <w:r>
        <w:rPr>
          <w:b w:val="0"/>
          <w:color w:val="auto"/>
          <w:sz w:val="20"/>
          <w:szCs w:val="20"/>
          <w:lang w:val="en-US"/>
        </w:rPr>
        <w:t>msec</w:t>
      </w:r>
      <w:proofErr w:type="spellEnd"/>
      <w:r w:rsidRPr="00E03CA6">
        <w:rPr>
          <w:b w:val="0"/>
          <w:color w:val="auto"/>
          <w:sz w:val="20"/>
          <w:szCs w:val="20"/>
          <w:lang w:val="en-US"/>
        </w:rPr>
        <w:t xml:space="preserve"> </w:t>
      </w:r>
      <w:r>
        <w:rPr>
          <w:b w:val="0"/>
          <w:color w:val="auto"/>
          <w:sz w:val="20"/>
          <w:szCs w:val="20"/>
          <w:lang w:val="en-US"/>
        </w:rPr>
        <w:t>along with</w:t>
      </w:r>
      <w:r w:rsidRPr="00E03CA6">
        <w:rPr>
          <w:b w:val="0"/>
          <w:color w:val="auto"/>
          <w:sz w:val="20"/>
          <w:szCs w:val="20"/>
          <w:lang w:val="en-US"/>
        </w:rPr>
        <w:t xml:space="preserve"> 95% bootstrap confidence intervals for each condition.</w:t>
      </w:r>
    </w:p>
    <w:tbl>
      <w:tblPr>
        <w:tblStyle w:val="TableGrid"/>
        <w:tblW w:w="732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"/>
        <w:gridCol w:w="2072"/>
        <w:gridCol w:w="1097"/>
        <w:gridCol w:w="1419"/>
        <w:gridCol w:w="1253"/>
      </w:tblGrid>
      <w:tr w:rsidR="00F624BF" w:rsidRPr="00E03CA6" w:rsidTr="00AE4725">
        <w:trPr>
          <w:trHeight w:val="288"/>
          <w:jc w:val="center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03CA6">
              <w:rPr>
                <w:color w:val="000000"/>
                <w:sz w:val="22"/>
                <w:szCs w:val="22"/>
                <w:lang w:val="en-US" w:eastAsia="en-US"/>
              </w:rPr>
              <w:t xml:space="preserve">Group 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03CA6">
              <w:rPr>
                <w:color w:val="000000"/>
                <w:sz w:val="22"/>
                <w:szCs w:val="22"/>
                <w:lang w:val="en-US" w:eastAsia="en-US"/>
              </w:rPr>
              <w:t xml:space="preserve">Stimuli 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03CA6">
              <w:rPr>
                <w:color w:val="000000"/>
                <w:sz w:val="22"/>
                <w:szCs w:val="22"/>
                <w:lang w:val="en-US" w:eastAsia="en-US"/>
              </w:rPr>
              <w:t xml:space="preserve">Condition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03CA6">
              <w:rPr>
                <w:color w:val="000000"/>
                <w:sz w:val="22"/>
                <w:szCs w:val="22"/>
                <w:lang w:val="en-US" w:eastAsia="en-US"/>
              </w:rPr>
              <w:t>Acc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uracy</w:t>
            </w:r>
            <w:r w:rsidRPr="00E03CA6">
              <w:rPr>
                <w:color w:val="000000"/>
                <w:sz w:val="22"/>
                <w:szCs w:val="22"/>
                <w:lang w:val="en-US" w:eastAsia="en-US"/>
              </w:rPr>
              <w:br/>
              <w:t>[95% CI]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E03CA6">
              <w:rPr>
                <w:color w:val="000000"/>
                <w:sz w:val="22"/>
                <w:szCs w:val="22"/>
                <w:lang w:val="en-US" w:eastAsia="en-US"/>
              </w:rPr>
              <w:t>RT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s</w:t>
            </w:r>
            <w:r w:rsidRPr="00E03CA6">
              <w:rPr>
                <w:color w:val="000000"/>
                <w:sz w:val="22"/>
                <w:szCs w:val="22"/>
                <w:lang w:val="en-US" w:eastAsia="en-US"/>
              </w:rPr>
              <w:br/>
              <w:t>[95% CI]</w:t>
            </w:r>
          </w:p>
        </w:tc>
      </w:tr>
      <w:tr w:rsidR="00F624BF" w:rsidRPr="00E03CA6" w:rsidTr="00AE4725">
        <w:trPr>
          <w:trHeight w:val="517"/>
          <w:jc w:val="center"/>
        </w:trPr>
        <w:tc>
          <w:tcPr>
            <w:tcW w:w="1485" w:type="dxa"/>
            <w:tcBorders>
              <w:top w:val="single" w:sz="4" w:space="0" w:color="auto"/>
            </w:tcBorders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proofErr w:type="spellStart"/>
            <w:r w:rsidRPr="00E03CA6">
              <w:rPr>
                <w:color w:val="000000"/>
                <w:sz w:val="20"/>
                <w:szCs w:val="22"/>
              </w:rPr>
              <w:t>Experimental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</w:tcBorders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proofErr w:type="spellStart"/>
            <w:r w:rsidRPr="00E03CA6">
              <w:rPr>
                <w:color w:val="000000"/>
                <w:sz w:val="20"/>
                <w:szCs w:val="22"/>
              </w:rPr>
              <w:t>Familiar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</w:tcBorders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E03CA6">
              <w:rPr>
                <w:color w:val="000000"/>
                <w:sz w:val="20"/>
                <w:szCs w:val="22"/>
              </w:rPr>
              <w:t>Full 20%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.62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.56; </w:t>
            </w:r>
            <w:r w:rsidRPr="002726BC">
              <w:rPr>
                <w:color w:val="000000"/>
                <w:sz w:val="20"/>
                <w:szCs w:val="20"/>
              </w:rPr>
              <w:t>.67]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1056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939; 1203]</w:t>
            </w:r>
          </w:p>
        </w:tc>
      </w:tr>
      <w:tr w:rsidR="00F624BF" w:rsidRPr="00E03CA6" w:rsidTr="00AE4725">
        <w:trPr>
          <w:trHeight w:val="517"/>
          <w:jc w:val="center"/>
        </w:trPr>
        <w:tc>
          <w:tcPr>
            <w:tcW w:w="1485" w:type="dxa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2072" w:type="dxa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097" w:type="dxa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E03CA6">
              <w:rPr>
                <w:color w:val="000000"/>
                <w:sz w:val="20"/>
                <w:szCs w:val="22"/>
              </w:rPr>
              <w:t>Full 50%</w:t>
            </w:r>
          </w:p>
        </w:tc>
        <w:tc>
          <w:tcPr>
            <w:tcW w:w="1419" w:type="dxa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</w:rPr>
              <w:t>.98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[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.96; </w:t>
            </w:r>
            <w:r w:rsidRPr="002726BC">
              <w:rPr>
                <w:color w:val="000000"/>
                <w:sz w:val="20"/>
                <w:szCs w:val="20"/>
              </w:rPr>
              <w:t>.99]</w:t>
            </w:r>
          </w:p>
        </w:tc>
        <w:tc>
          <w:tcPr>
            <w:tcW w:w="1253" w:type="dxa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765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689; 851]</w:t>
            </w:r>
          </w:p>
        </w:tc>
      </w:tr>
      <w:tr w:rsidR="00F624BF" w:rsidRPr="00E03CA6" w:rsidTr="00AE4725">
        <w:trPr>
          <w:trHeight w:val="517"/>
          <w:jc w:val="center"/>
        </w:trPr>
        <w:tc>
          <w:tcPr>
            <w:tcW w:w="1485" w:type="dxa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2072" w:type="dxa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097" w:type="dxa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proofErr w:type="spellStart"/>
            <w:r w:rsidRPr="00E03CA6">
              <w:rPr>
                <w:color w:val="000000"/>
                <w:sz w:val="20"/>
                <w:szCs w:val="22"/>
              </w:rPr>
              <w:t>Blur</w:t>
            </w:r>
            <w:proofErr w:type="spellEnd"/>
            <w:r w:rsidRPr="00E03CA6">
              <w:rPr>
                <w:color w:val="000000"/>
                <w:sz w:val="20"/>
                <w:szCs w:val="22"/>
              </w:rPr>
              <w:t xml:space="preserve"> 50%</w:t>
            </w:r>
          </w:p>
        </w:tc>
        <w:tc>
          <w:tcPr>
            <w:tcW w:w="1419" w:type="dxa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.89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.82; .95]</w:t>
            </w:r>
          </w:p>
        </w:tc>
        <w:tc>
          <w:tcPr>
            <w:tcW w:w="1253" w:type="dxa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881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824; 944]</w:t>
            </w:r>
          </w:p>
        </w:tc>
      </w:tr>
      <w:tr w:rsidR="00F624BF" w:rsidRPr="00E03CA6" w:rsidTr="00AE4725">
        <w:trPr>
          <w:trHeight w:val="517"/>
          <w:jc w:val="center"/>
        </w:trPr>
        <w:tc>
          <w:tcPr>
            <w:tcW w:w="1485" w:type="dxa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2072" w:type="dxa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proofErr w:type="spellStart"/>
            <w:r w:rsidRPr="00E03CA6">
              <w:rPr>
                <w:color w:val="000000"/>
                <w:sz w:val="20"/>
                <w:szCs w:val="22"/>
              </w:rPr>
              <w:t>Unfamiliar</w:t>
            </w:r>
            <w:proofErr w:type="spellEnd"/>
          </w:p>
        </w:tc>
        <w:tc>
          <w:tcPr>
            <w:tcW w:w="1097" w:type="dxa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E03CA6">
              <w:rPr>
                <w:color w:val="000000"/>
                <w:sz w:val="20"/>
                <w:szCs w:val="22"/>
              </w:rPr>
              <w:t>Full 20%</w:t>
            </w:r>
          </w:p>
        </w:tc>
        <w:tc>
          <w:tcPr>
            <w:tcW w:w="1419" w:type="dxa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.65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.58; .72]</w:t>
            </w:r>
          </w:p>
        </w:tc>
        <w:tc>
          <w:tcPr>
            <w:tcW w:w="1253" w:type="dxa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1062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952; 1173]</w:t>
            </w:r>
          </w:p>
        </w:tc>
      </w:tr>
      <w:tr w:rsidR="00F624BF" w:rsidRPr="00E03CA6" w:rsidTr="00AE4725">
        <w:trPr>
          <w:trHeight w:val="517"/>
          <w:jc w:val="center"/>
        </w:trPr>
        <w:tc>
          <w:tcPr>
            <w:tcW w:w="1485" w:type="dxa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2072" w:type="dxa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097" w:type="dxa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E03CA6">
              <w:rPr>
                <w:color w:val="000000"/>
                <w:sz w:val="20"/>
                <w:szCs w:val="22"/>
              </w:rPr>
              <w:t>Full 50%</w:t>
            </w:r>
          </w:p>
        </w:tc>
        <w:tc>
          <w:tcPr>
            <w:tcW w:w="1419" w:type="dxa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.87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.83; .91]</w:t>
            </w:r>
          </w:p>
        </w:tc>
        <w:tc>
          <w:tcPr>
            <w:tcW w:w="1253" w:type="dxa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881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812; 950]</w:t>
            </w:r>
          </w:p>
        </w:tc>
      </w:tr>
      <w:tr w:rsidR="00F624BF" w:rsidRPr="00E03CA6" w:rsidTr="00AE4725">
        <w:trPr>
          <w:trHeight w:val="517"/>
          <w:jc w:val="center"/>
        </w:trPr>
        <w:tc>
          <w:tcPr>
            <w:tcW w:w="1485" w:type="dxa"/>
            <w:tcBorders>
              <w:bottom w:val="nil"/>
            </w:tcBorders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2072" w:type="dxa"/>
            <w:tcBorders>
              <w:bottom w:val="nil"/>
            </w:tcBorders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097" w:type="dxa"/>
            <w:tcBorders>
              <w:bottom w:val="nil"/>
            </w:tcBorders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proofErr w:type="spellStart"/>
            <w:r w:rsidRPr="00E03CA6">
              <w:rPr>
                <w:color w:val="000000"/>
                <w:sz w:val="20"/>
                <w:szCs w:val="22"/>
              </w:rPr>
              <w:t>Blur</w:t>
            </w:r>
            <w:proofErr w:type="spellEnd"/>
            <w:r w:rsidRPr="00E03CA6">
              <w:rPr>
                <w:color w:val="000000"/>
                <w:sz w:val="20"/>
                <w:szCs w:val="22"/>
              </w:rPr>
              <w:t xml:space="preserve"> 50%</w:t>
            </w:r>
          </w:p>
        </w:tc>
        <w:tc>
          <w:tcPr>
            <w:tcW w:w="1419" w:type="dxa"/>
            <w:tcBorders>
              <w:bottom w:val="nil"/>
            </w:tcBorders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.66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.59; .72]</w:t>
            </w:r>
          </w:p>
        </w:tc>
        <w:tc>
          <w:tcPr>
            <w:tcW w:w="1253" w:type="dxa"/>
            <w:tcBorders>
              <w:bottom w:val="nil"/>
            </w:tcBorders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910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844; 978]</w:t>
            </w:r>
          </w:p>
        </w:tc>
      </w:tr>
      <w:tr w:rsidR="00F624BF" w:rsidRPr="00E03CA6" w:rsidTr="00AE4725">
        <w:trPr>
          <w:trHeight w:val="517"/>
          <w:jc w:val="center"/>
        </w:trPr>
        <w:tc>
          <w:tcPr>
            <w:tcW w:w="14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E03CA6">
              <w:rPr>
                <w:color w:val="000000"/>
                <w:sz w:val="20"/>
                <w:szCs w:val="22"/>
              </w:rPr>
              <w:t>Control</w:t>
            </w:r>
          </w:p>
        </w:tc>
        <w:tc>
          <w:tcPr>
            <w:tcW w:w="20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proofErr w:type="spellStart"/>
            <w:r w:rsidRPr="00E03CA6">
              <w:rPr>
                <w:color w:val="000000"/>
                <w:sz w:val="20"/>
                <w:szCs w:val="22"/>
              </w:rPr>
              <w:t>Familiar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E03CA6">
              <w:rPr>
                <w:color w:val="000000"/>
                <w:sz w:val="20"/>
                <w:szCs w:val="22"/>
              </w:rPr>
              <w:t>Full 20%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.77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.73; .81]</w:t>
            </w:r>
          </w:p>
        </w:tc>
        <w:tc>
          <w:tcPr>
            <w:tcW w:w="12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994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878; 1118]</w:t>
            </w:r>
          </w:p>
        </w:tc>
      </w:tr>
      <w:tr w:rsidR="00F624BF" w:rsidRPr="00E03CA6" w:rsidTr="00AE4725">
        <w:trPr>
          <w:trHeight w:val="517"/>
          <w:jc w:val="center"/>
        </w:trPr>
        <w:tc>
          <w:tcPr>
            <w:tcW w:w="1485" w:type="dxa"/>
            <w:tcBorders>
              <w:top w:val="nil"/>
            </w:tcBorders>
            <w:shd w:val="clear" w:color="auto" w:fill="auto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2072" w:type="dxa"/>
            <w:tcBorders>
              <w:top w:val="nil"/>
            </w:tcBorders>
            <w:shd w:val="clear" w:color="auto" w:fill="auto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097" w:type="dxa"/>
            <w:tcBorders>
              <w:top w:val="nil"/>
            </w:tcBorders>
            <w:shd w:val="clear" w:color="auto" w:fill="auto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E03CA6">
              <w:rPr>
                <w:color w:val="000000"/>
                <w:sz w:val="20"/>
                <w:szCs w:val="22"/>
              </w:rPr>
              <w:t>Full 50%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.92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.89; .95]</w:t>
            </w:r>
          </w:p>
        </w:tc>
        <w:tc>
          <w:tcPr>
            <w:tcW w:w="125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813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717; 933]</w:t>
            </w:r>
          </w:p>
        </w:tc>
      </w:tr>
      <w:tr w:rsidR="00F624BF" w:rsidRPr="00E03CA6" w:rsidTr="00AE4725">
        <w:trPr>
          <w:trHeight w:val="517"/>
          <w:jc w:val="center"/>
        </w:trPr>
        <w:tc>
          <w:tcPr>
            <w:tcW w:w="1485" w:type="dxa"/>
            <w:shd w:val="clear" w:color="auto" w:fill="auto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2072" w:type="dxa"/>
            <w:shd w:val="clear" w:color="auto" w:fill="auto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097" w:type="dxa"/>
            <w:shd w:val="clear" w:color="auto" w:fill="auto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proofErr w:type="spellStart"/>
            <w:r w:rsidRPr="00E03CA6">
              <w:rPr>
                <w:color w:val="000000"/>
                <w:sz w:val="20"/>
                <w:szCs w:val="22"/>
              </w:rPr>
              <w:t>Blur</w:t>
            </w:r>
            <w:proofErr w:type="spellEnd"/>
            <w:r w:rsidRPr="00E03CA6">
              <w:rPr>
                <w:color w:val="000000"/>
                <w:sz w:val="20"/>
                <w:szCs w:val="22"/>
              </w:rPr>
              <w:t xml:space="preserve"> 50%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.79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.75; .83]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869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774; 983]</w:t>
            </w:r>
          </w:p>
        </w:tc>
      </w:tr>
      <w:tr w:rsidR="00F624BF" w:rsidRPr="00E03CA6" w:rsidTr="00AE4725">
        <w:trPr>
          <w:trHeight w:val="517"/>
          <w:jc w:val="center"/>
        </w:trPr>
        <w:tc>
          <w:tcPr>
            <w:tcW w:w="1485" w:type="dxa"/>
            <w:shd w:val="clear" w:color="auto" w:fill="auto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2072" w:type="dxa"/>
            <w:shd w:val="clear" w:color="auto" w:fill="auto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proofErr w:type="spellStart"/>
            <w:r w:rsidRPr="00E03CA6">
              <w:rPr>
                <w:color w:val="000000"/>
                <w:sz w:val="20"/>
                <w:szCs w:val="22"/>
              </w:rPr>
              <w:t>Unfamiliar</w:t>
            </w:r>
            <w:proofErr w:type="spellEnd"/>
          </w:p>
        </w:tc>
        <w:tc>
          <w:tcPr>
            <w:tcW w:w="1097" w:type="dxa"/>
            <w:shd w:val="clear" w:color="auto" w:fill="auto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E03CA6">
              <w:rPr>
                <w:color w:val="000000"/>
                <w:sz w:val="20"/>
                <w:szCs w:val="22"/>
              </w:rPr>
              <w:t>Full 20%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.77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.71; .82]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954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807; 1126]</w:t>
            </w:r>
          </w:p>
        </w:tc>
      </w:tr>
      <w:tr w:rsidR="00F624BF" w:rsidRPr="00E03CA6" w:rsidTr="00AE4725">
        <w:trPr>
          <w:trHeight w:val="517"/>
          <w:jc w:val="center"/>
        </w:trPr>
        <w:tc>
          <w:tcPr>
            <w:tcW w:w="1485" w:type="dxa"/>
            <w:shd w:val="clear" w:color="auto" w:fill="auto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2072" w:type="dxa"/>
            <w:shd w:val="clear" w:color="auto" w:fill="auto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097" w:type="dxa"/>
            <w:shd w:val="clear" w:color="auto" w:fill="auto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r w:rsidRPr="00E03CA6">
              <w:rPr>
                <w:color w:val="000000"/>
                <w:sz w:val="20"/>
                <w:szCs w:val="22"/>
              </w:rPr>
              <w:t>Full 50%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.89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.85; .93]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883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747; 1052]</w:t>
            </w:r>
          </w:p>
        </w:tc>
      </w:tr>
      <w:tr w:rsidR="00F624BF" w:rsidRPr="00E03CA6" w:rsidTr="00AE4725">
        <w:trPr>
          <w:trHeight w:val="517"/>
          <w:jc w:val="center"/>
        </w:trPr>
        <w:tc>
          <w:tcPr>
            <w:tcW w:w="1485" w:type="dxa"/>
            <w:shd w:val="clear" w:color="auto" w:fill="auto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2072" w:type="dxa"/>
            <w:shd w:val="clear" w:color="auto" w:fill="auto"/>
            <w:noWrap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</w:p>
        </w:tc>
        <w:tc>
          <w:tcPr>
            <w:tcW w:w="1097" w:type="dxa"/>
            <w:shd w:val="clear" w:color="auto" w:fill="auto"/>
            <w:noWrap/>
            <w:hideMark/>
          </w:tcPr>
          <w:p w:rsidR="00F624BF" w:rsidRPr="00E03CA6" w:rsidRDefault="00F624BF" w:rsidP="00AE4725">
            <w:pPr>
              <w:jc w:val="center"/>
              <w:rPr>
                <w:color w:val="000000"/>
                <w:sz w:val="20"/>
                <w:szCs w:val="22"/>
                <w:lang w:val="en-US" w:eastAsia="en-US"/>
              </w:rPr>
            </w:pPr>
            <w:proofErr w:type="spellStart"/>
            <w:r w:rsidRPr="00E03CA6">
              <w:rPr>
                <w:color w:val="000000"/>
                <w:sz w:val="20"/>
                <w:szCs w:val="22"/>
              </w:rPr>
              <w:t>Blur</w:t>
            </w:r>
            <w:proofErr w:type="spellEnd"/>
            <w:r w:rsidRPr="00E03CA6">
              <w:rPr>
                <w:color w:val="000000"/>
                <w:sz w:val="20"/>
                <w:szCs w:val="22"/>
              </w:rPr>
              <w:t xml:space="preserve"> 50%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.7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.63; .76]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F624BF" w:rsidRPr="00262DDE" w:rsidRDefault="00F624BF" w:rsidP="00AE4725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726BC">
              <w:rPr>
                <w:color w:val="000000"/>
                <w:sz w:val="20"/>
                <w:szCs w:val="20"/>
              </w:rPr>
              <w:t>907</w:t>
            </w:r>
            <w:r w:rsidRPr="002726BC">
              <w:rPr>
                <w:color w:val="000000"/>
                <w:sz w:val="20"/>
                <w:szCs w:val="20"/>
              </w:rPr>
              <w:br/>
            </w:r>
            <w:proofErr w:type="gramStart"/>
            <w:r w:rsidRPr="002726BC">
              <w:rPr>
                <w:color w:val="000000"/>
                <w:sz w:val="20"/>
                <w:szCs w:val="20"/>
              </w:rPr>
              <w:t>[</w:t>
            </w:r>
            <w:proofErr w:type="gramEnd"/>
            <w:r w:rsidRPr="002726BC">
              <w:rPr>
                <w:color w:val="000000"/>
                <w:sz w:val="20"/>
                <w:szCs w:val="20"/>
              </w:rPr>
              <w:t>790; 1033]</w:t>
            </w:r>
          </w:p>
        </w:tc>
      </w:tr>
    </w:tbl>
    <w:p w:rsidR="005F36A5" w:rsidRDefault="005F36A5">
      <w:bookmarkStart w:id="1" w:name="_GoBack"/>
      <w:bookmarkEnd w:id="1"/>
    </w:p>
    <w:sectPr w:rsidR="005F36A5" w:rsidSect="005F36A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BF"/>
    <w:rsid w:val="003233FF"/>
    <w:rsid w:val="005F36A5"/>
    <w:rsid w:val="00F62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7F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F"/>
    <w:pPr>
      <w:spacing w:after="0"/>
    </w:pPr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ewparagraph"/>
    <w:qFormat/>
    <w:rsid w:val="00F624BF"/>
    <w:pPr>
      <w:widowControl w:val="0"/>
      <w:spacing w:before="240" w:line="480" w:lineRule="auto"/>
    </w:pPr>
    <w:rPr>
      <w:lang w:val="en-GB" w:eastAsia="en-GB"/>
    </w:rPr>
  </w:style>
  <w:style w:type="paragraph" w:customStyle="1" w:styleId="Newparagraph">
    <w:name w:val="New paragraph"/>
    <w:basedOn w:val="Normal"/>
    <w:qFormat/>
    <w:rsid w:val="00F624BF"/>
    <w:pPr>
      <w:spacing w:line="480" w:lineRule="auto"/>
      <w:ind w:firstLine="720"/>
    </w:pPr>
    <w:rPr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F624BF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624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BF"/>
    <w:pPr>
      <w:spacing w:after="0"/>
    </w:pPr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ewparagraph"/>
    <w:qFormat/>
    <w:rsid w:val="00F624BF"/>
    <w:pPr>
      <w:widowControl w:val="0"/>
      <w:spacing w:before="240" w:line="480" w:lineRule="auto"/>
    </w:pPr>
    <w:rPr>
      <w:lang w:val="en-GB" w:eastAsia="en-GB"/>
    </w:rPr>
  </w:style>
  <w:style w:type="paragraph" w:customStyle="1" w:styleId="Newparagraph">
    <w:name w:val="New paragraph"/>
    <w:basedOn w:val="Normal"/>
    <w:qFormat/>
    <w:rsid w:val="00F624BF"/>
    <w:pPr>
      <w:spacing w:line="480" w:lineRule="auto"/>
      <w:ind w:firstLine="720"/>
    </w:pPr>
    <w:rPr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F624BF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F624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Ramon</dc:creator>
  <cp:keywords/>
  <dc:description/>
  <cp:lastModifiedBy>Meike Ramon</cp:lastModifiedBy>
  <cp:revision>1</cp:revision>
  <dcterms:created xsi:type="dcterms:W3CDTF">2015-11-01T15:36:00Z</dcterms:created>
  <dcterms:modified xsi:type="dcterms:W3CDTF">2015-11-01T15:36:00Z</dcterms:modified>
</cp:coreProperties>
</file>