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81" w:rsidRPr="00092217" w:rsidRDefault="00807381" w:rsidP="00807381">
      <w:pPr>
        <w:spacing w:line="360" w:lineRule="auto"/>
        <w:rPr>
          <w:rFonts w:cs="Arial"/>
          <w:b/>
          <w:sz w:val="28"/>
          <w:szCs w:val="28"/>
        </w:rPr>
      </w:pPr>
      <w:r w:rsidRPr="00092217">
        <w:rPr>
          <w:rFonts w:cs="Arial"/>
          <w:b/>
          <w:sz w:val="28"/>
          <w:szCs w:val="28"/>
        </w:rPr>
        <w:t xml:space="preserve">Gene expression profiles during short-term heat stress; branching vs. massive </w:t>
      </w:r>
      <w:proofErr w:type="spellStart"/>
      <w:r w:rsidRPr="00092217">
        <w:rPr>
          <w:rFonts w:cs="Arial"/>
          <w:b/>
          <w:sz w:val="28"/>
          <w:szCs w:val="28"/>
        </w:rPr>
        <w:t>Scleractinian</w:t>
      </w:r>
      <w:proofErr w:type="spellEnd"/>
      <w:r w:rsidRPr="00092217">
        <w:rPr>
          <w:rFonts w:cs="Arial"/>
          <w:b/>
          <w:sz w:val="28"/>
          <w:szCs w:val="28"/>
        </w:rPr>
        <w:t xml:space="preserve"> corals of the Red Sea</w:t>
      </w:r>
    </w:p>
    <w:p w:rsidR="0032277E" w:rsidRPr="001B0553" w:rsidRDefault="00807381" w:rsidP="00807381">
      <w:pPr>
        <w:spacing w:line="360" w:lineRule="auto"/>
        <w:jc w:val="both"/>
        <w:rPr>
          <w:rFonts w:cs="TimesNewRomanPS-BoldMT"/>
          <w:b/>
          <w:bCs/>
          <w:sz w:val="32"/>
          <w:szCs w:val="28"/>
        </w:rPr>
      </w:pPr>
      <w:r w:rsidRPr="001B0553">
        <w:rPr>
          <w:rFonts w:cs="TimesNewRomanPS-BoldMT"/>
          <w:b/>
          <w:bCs/>
          <w:sz w:val="32"/>
          <w:szCs w:val="28"/>
        </w:rPr>
        <w:t xml:space="preserve">SI </w:t>
      </w:r>
    </w:p>
    <w:p w:rsidR="00251B60" w:rsidRPr="000B2F09" w:rsidRDefault="00251B60" w:rsidP="00251B60">
      <w:pPr>
        <w:spacing w:line="240" w:lineRule="auto"/>
        <w:rPr>
          <w:rFonts w:asciiTheme="majorBidi" w:hAnsiTheme="majorBidi" w:cstheme="majorBidi"/>
          <w:sz w:val="24"/>
          <w:szCs w:val="24"/>
          <w:vertAlign w:val="superscript"/>
        </w:rPr>
      </w:pPr>
      <w:r w:rsidRPr="000B2F09">
        <w:rPr>
          <w:rFonts w:asciiTheme="majorBidi" w:hAnsiTheme="majorBidi" w:cstheme="majorBidi"/>
          <w:sz w:val="24"/>
          <w:szCs w:val="24"/>
        </w:rPr>
        <w:t>Keren Maor-Landaw</w:t>
      </w:r>
      <w:r w:rsidRPr="000B2F09">
        <w:rPr>
          <w:rFonts w:asciiTheme="majorBidi" w:hAnsiTheme="majorBidi" w:cstheme="majorBidi"/>
          <w:sz w:val="24"/>
          <w:szCs w:val="24"/>
          <w:vertAlign w:val="superscript"/>
        </w:rPr>
        <w:t>1</w:t>
      </w:r>
      <w:r w:rsidRPr="000B2F09">
        <w:rPr>
          <w:rFonts w:asciiTheme="majorBidi" w:hAnsiTheme="majorBidi" w:cstheme="majorBidi"/>
          <w:sz w:val="24"/>
          <w:szCs w:val="24"/>
        </w:rPr>
        <w:t xml:space="preserve"> and Oren Levy</w:t>
      </w:r>
      <w:r w:rsidRPr="000B2F09">
        <w:rPr>
          <w:rFonts w:asciiTheme="majorBidi" w:hAnsiTheme="majorBidi" w:cstheme="majorBidi"/>
          <w:sz w:val="24"/>
          <w:szCs w:val="24"/>
          <w:vertAlign w:val="superscript"/>
        </w:rPr>
        <w:t>1*</w:t>
      </w:r>
    </w:p>
    <w:p w:rsidR="00251B60" w:rsidRPr="000B2F09" w:rsidRDefault="00251B60" w:rsidP="00251B60">
      <w:pPr>
        <w:autoSpaceDE w:val="0"/>
        <w:autoSpaceDN w:val="0"/>
        <w:adjustRightInd w:val="0"/>
        <w:spacing w:after="0" w:line="240" w:lineRule="auto"/>
        <w:rPr>
          <w:rFonts w:asciiTheme="majorBidi" w:hAnsiTheme="majorBidi" w:cstheme="majorBidi"/>
          <w:sz w:val="24"/>
          <w:szCs w:val="24"/>
        </w:rPr>
      </w:pPr>
      <w:r w:rsidRPr="000B2F09">
        <w:rPr>
          <w:rFonts w:asciiTheme="majorBidi" w:hAnsiTheme="majorBidi" w:cstheme="majorBidi"/>
          <w:sz w:val="24"/>
          <w:szCs w:val="24"/>
          <w:vertAlign w:val="superscript"/>
        </w:rPr>
        <w:t>1</w:t>
      </w:r>
      <w:r w:rsidRPr="000B2F09">
        <w:rPr>
          <w:rFonts w:asciiTheme="majorBidi" w:hAnsiTheme="majorBidi" w:cstheme="majorBidi"/>
          <w:sz w:val="24"/>
          <w:szCs w:val="24"/>
        </w:rPr>
        <w:t xml:space="preserve"> The Mina and </w:t>
      </w:r>
      <w:proofErr w:type="spellStart"/>
      <w:r w:rsidRPr="000B2F09">
        <w:rPr>
          <w:rFonts w:asciiTheme="majorBidi" w:hAnsiTheme="majorBidi" w:cstheme="majorBidi"/>
          <w:sz w:val="24"/>
          <w:szCs w:val="24"/>
        </w:rPr>
        <w:t>Everard</w:t>
      </w:r>
      <w:proofErr w:type="spellEnd"/>
      <w:r w:rsidRPr="000B2F09">
        <w:rPr>
          <w:rFonts w:asciiTheme="majorBidi" w:hAnsiTheme="majorBidi" w:cstheme="majorBidi"/>
          <w:sz w:val="24"/>
          <w:szCs w:val="24"/>
        </w:rPr>
        <w:t xml:space="preserve"> Goodman Faculty of Life Sciences, Bar </w:t>
      </w:r>
      <w:proofErr w:type="spellStart"/>
      <w:r w:rsidRPr="000B2F09">
        <w:rPr>
          <w:rFonts w:asciiTheme="majorBidi" w:hAnsiTheme="majorBidi" w:cstheme="majorBidi"/>
          <w:sz w:val="24"/>
          <w:szCs w:val="24"/>
        </w:rPr>
        <w:t>Ilan</w:t>
      </w:r>
      <w:proofErr w:type="spellEnd"/>
      <w:r w:rsidRPr="000B2F09">
        <w:rPr>
          <w:rFonts w:asciiTheme="majorBidi" w:hAnsiTheme="majorBidi" w:cstheme="majorBidi"/>
          <w:sz w:val="24"/>
          <w:szCs w:val="24"/>
        </w:rPr>
        <w:t xml:space="preserve"> University, Ramat </w:t>
      </w:r>
      <w:proofErr w:type="spellStart"/>
      <w:r w:rsidRPr="000B2F09">
        <w:rPr>
          <w:rFonts w:asciiTheme="majorBidi" w:hAnsiTheme="majorBidi" w:cstheme="majorBidi"/>
          <w:sz w:val="24"/>
          <w:szCs w:val="24"/>
        </w:rPr>
        <w:t>Gan</w:t>
      </w:r>
      <w:proofErr w:type="spellEnd"/>
      <w:r w:rsidRPr="000B2F09">
        <w:rPr>
          <w:rFonts w:asciiTheme="majorBidi" w:hAnsiTheme="majorBidi" w:cstheme="majorBidi"/>
          <w:sz w:val="24"/>
          <w:szCs w:val="24"/>
        </w:rPr>
        <w:t>, Israel.</w:t>
      </w:r>
    </w:p>
    <w:p w:rsidR="00251B60" w:rsidRPr="000B2F09" w:rsidRDefault="00251B60" w:rsidP="00251B60">
      <w:pPr>
        <w:autoSpaceDE w:val="0"/>
        <w:autoSpaceDN w:val="0"/>
        <w:adjustRightInd w:val="0"/>
        <w:spacing w:after="0" w:line="240" w:lineRule="auto"/>
        <w:rPr>
          <w:rFonts w:asciiTheme="majorBidi" w:hAnsiTheme="majorBidi" w:cstheme="majorBidi"/>
          <w:sz w:val="24"/>
          <w:szCs w:val="24"/>
        </w:rPr>
      </w:pPr>
    </w:p>
    <w:p w:rsidR="00251B60" w:rsidRPr="000B2F09" w:rsidRDefault="00251B60" w:rsidP="00251B60">
      <w:pPr>
        <w:autoSpaceDE w:val="0"/>
        <w:autoSpaceDN w:val="0"/>
        <w:adjustRightInd w:val="0"/>
        <w:spacing w:after="0" w:line="240" w:lineRule="auto"/>
        <w:rPr>
          <w:rFonts w:asciiTheme="majorBidi" w:hAnsiTheme="majorBidi" w:cstheme="majorBidi"/>
          <w:sz w:val="24"/>
          <w:szCs w:val="24"/>
        </w:rPr>
      </w:pPr>
      <w:r w:rsidRPr="000B2F09">
        <w:rPr>
          <w:rFonts w:asciiTheme="majorBidi" w:hAnsiTheme="majorBidi" w:cstheme="majorBidi"/>
          <w:sz w:val="24"/>
          <w:szCs w:val="24"/>
        </w:rPr>
        <w:t xml:space="preserve">*Corresponding author – Oren Levy; </w:t>
      </w:r>
    </w:p>
    <w:p w:rsidR="00251B60" w:rsidRPr="000B2F09" w:rsidRDefault="00251B60" w:rsidP="00251B60">
      <w:pPr>
        <w:autoSpaceDE w:val="0"/>
        <w:autoSpaceDN w:val="0"/>
        <w:adjustRightInd w:val="0"/>
        <w:spacing w:after="0" w:line="240" w:lineRule="auto"/>
        <w:rPr>
          <w:rFonts w:asciiTheme="majorBidi" w:hAnsiTheme="majorBidi" w:cstheme="majorBidi"/>
          <w:sz w:val="24"/>
          <w:szCs w:val="24"/>
        </w:rPr>
      </w:pPr>
      <w:proofErr w:type="gramStart"/>
      <w:r w:rsidRPr="000B2F09">
        <w:rPr>
          <w:rFonts w:asciiTheme="majorBidi" w:hAnsiTheme="majorBidi" w:cstheme="majorBidi"/>
          <w:sz w:val="24"/>
          <w:szCs w:val="24"/>
        </w:rPr>
        <w:t>email</w:t>
      </w:r>
      <w:proofErr w:type="gramEnd"/>
      <w:r w:rsidRPr="000B2F09">
        <w:rPr>
          <w:rFonts w:asciiTheme="majorBidi" w:hAnsiTheme="majorBidi" w:cstheme="majorBidi"/>
          <w:sz w:val="24"/>
          <w:szCs w:val="24"/>
        </w:rPr>
        <w:t xml:space="preserve">: </w:t>
      </w:r>
      <w:hyperlink r:id="rId7" w:history="1">
        <w:r w:rsidRPr="000B2F09">
          <w:rPr>
            <w:rFonts w:asciiTheme="majorBidi" w:hAnsiTheme="majorBidi" w:cstheme="majorBidi"/>
            <w:sz w:val="24"/>
            <w:szCs w:val="24"/>
          </w:rPr>
          <w:t>oren.levy@biu.ac.il</w:t>
        </w:r>
      </w:hyperlink>
      <w:r w:rsidRPr="000B2F09">
        <w:rPr>
          <w:rFonts w:asciiTheme="majorBidi" w:hAnsiTheme="majorBidi" w:cstheme="majorBidi"/>
          <w:sz w:val="24"/>
          <w:szCs w:val="24"/>
        </w:rPr>
        <w:t xml:space="preserve">    </w:t>
      </w:r>
    </w:p>
    <w:p w:rsidR="00251B60" w:rsidRPr="000B2F09" w:rsidRDefault="00251B60" w:rsidP="00251B60">
      <w:pPr>
        <w:pStyle w:val="Default"/>
        <w:rPr>
          <w:rFonts w:asciiTheme="majorBidi" w:eastAsiaTheme="minorHAnsi" w:hAnsiTheme="majorBidi" w:cstheme="majorBidi"/>
          <w:color w:val="auto"/>
        </w:rPr>
      </w:pPr>
      <w:r w:rsidRPr="000B2F09">
        <w:rPr>
          <w:rFonts w:asciiTheme="majorBidi" w:eastAsiaTheme="minorHAnsi" w:hAnsiTheme="majorBidi" w:cstheme="majorBidi"/>
          <w:color w:val="auto"/>
        </w:rPr>
        <w:t>Telephone: +97235318030</w:t>
      </w:r>
    </w:p>
    <w:p w:rsidR="001A1E26" w:rsidRDefault="00251B60" w:rsidP="00251B60">
      <w:pPr>
        <w:spacing w:line="360" w:lineRule="auto"/>
        <w:jc w:val="both"/>
        <w:rPr>
          <w:rFonts w:asciiTheme="majorBidi" w:hAnsiTheme="majorBidi" w:cstheme="majorBidi"/>
        </w:rPr>
      </w:pPr>
      <w:r w:rsidRPr="000B2F09">
        <w:rPr>
          <w:rFonts w:asciiTheme="majorBidi" w:hAnsiTheme="majorBidi" w:cstheme="majorBidi"/>
        </w:rPr>
        <w:t>Fax: +97237384181</w:t>
      </w:r>
    </w:p>
    <w:p w:rsidR="00300C95" w:rsidRDefault="00300C95" w:rsidP="007407EA">
      <w:pPr>
        <w:spacing w:after="100" w:line="240" w:lineRule="auto"/>
        <w:contextualSpacing/>
        <w:rPr>
          <w:rFonts w:cs="TimesNewRomanPS-BoldMT"/>
          <w:b/>
          <w:bCs/>
          <w:sz w:val="26"/>
          <w:szCs w:val="26"/>
        </w:rPr>
      </w:pPr>
      <w:r>
        <w:rPr>
          <w:rFonts w:cs="TimesNewRomanPS-BoldMT"/>
          <w:b/>
          <w:bCs/>
          <w:sz w:val="26"/>
          <w:szCs w:val="26"/>
        </w:rPr>
        <w:br w:type="page"/>
      </w:r>
    </w:p>
    <w:p w:rsidR="00807381" w:rsidRPr="0032277E" w:rsidRDefault="00807381" w:rsidP="00807381">
      <w:pPr>
        <w:spacing w:line="360" w:lineRule="auto"/>
        <w:jc w:val="both"/>
        <w:rPr>
          <w:b/>
          <w:bCs/>
          <w:sz w:val="28"/>
          <w:szCs w:val="28"/>
        </w:rPr>
      </w:pPr>
      <w:r w:rsidRPr="0032277E">
        <w:rPr>
          <w:rFonts w:cs="TimesNewRomanPS-BoldMT"/>
          <w:b/>
          <w:bCs/>
          <w:sz w:val="26"/>
          <w:szCs w:val="26"/>
        </w:rPr>
        <w:lastRenderedPageBreak/>
        <w:t>Materials and methods</w:t>
      </w:r>
      <w:r w:rsidRPr="0032277E">
        <w:rPr>
          <w:b/>
          <w:bCs/>
          <w:sz w:val="28"/>
          <w:szCs w:val="28"/>
        </w:rPr>
        <w:t xml:space="preserve"> </w:t>
      </w:r>
    </w:p>
    <w:p w:rsidR="001A20EE" w:rsidRDefault="001A20EE" w:rsidP="00807381">
      <w:pPr>
        <w:spacing w:line="360" w:lineRule="auto"/>
        <w:jc w:val="both"/>
        <w:rPr>
          <w:b/>
          <w:bCs/>
          <w:sz w:val="24"/>
          <w:szCs w:val="24"/>
        </w:rPr>
      </w:pPr>
      <w:r>
        <w:rPr>
          <w:b/>
          <w:bCs/>
          <w:sz w:val="24"/>
          <w:szCs w:val="24"/>
        </w:rPr>
        <w:t>Protein extraction</w:t>
      </w:r>
    </w:p>
    <w:p w:rsidR="001A20EE" w:rsidRDefault="004F3B37" w:rsidP="00496D82">
      <w:pPr>
        <w:spacing w:line="360" w:lineRule="auto"/>
        <w:rPr>
          <w:sz w:val="24"/>
          <w:szCs w:val="24"/>
        </w:rPr>
      </w:pPr>
      <w:r>
        <w:rPr>
          <w:sz w:val="24"/>
          <w:szCs w:val="24"/>
        </w:rPr>
        <w:t xml:space="preserve">Protein was extracted from </w:t>
      </w:r>
      <w:r w:rsidR="001E10DF">
        <w:rPr>
          <w:sz w:val="24"/>
          <w:szCs w:val="24"/>
        </w:rPr>
        <w:t xml:space="preserve">remaining </w:t>
      </w:r>
      <w:r>
        <w:rPr>
          <w:sz w:val="24"/>
          <w:szCs w:val="24"/>
        </w:rPr>
        <w:t>coral</w:t>
      </w:r>
      <w:r w:rsidR="001E10DF">
        <w:rPr>
          <w:sz w:val="24"/>
          <w:szCs w:val="24"/>
        </w:rPr>
        <w:t xml:space="preserve"> fragments of </w:t>
      </w:r>
      <w:r w:rsidR="001E10DF">
        <w:rPr>
          <w:i/>
          <w:iCs/>
          <w:sz w:val="24"/>
          <w:szCs w:val="24"/>
        </w:rPr>
        <w:t xml:space="preserve">S. </w:t>
      </w:r>
      <w:proofErr w:type="spellStart"/>
      <w:r w:rsidR="001E10DF">
        <w:rPr>
          <w:i/>
          <w:iCs/>
          <w:sz w:val="24"/>
          <w:szCs w:val="24"/>
        </w:rPr>
        <w:t>pistillata</w:t>
      </w:r>
      <w:proofErr w:type="spellEnd"/>
      <w:r w:rsidR="001E10DF">
        <w:rPr>
          <w:sz w:val="24"/>
          <w:szCs w:val="24"/>
        </w:rPr>
        <w:t xml:space="preserve"> following treatments of 28, 32 and 34</w:t>
      </w:r>
      <w:r w:rsidR="001E10DF">
        <w:rPr>
          <w:sz w:val="24"/>
          <w:szCs w:val="24"/>
          <w:vertAlign w:val="superscript"/>
        </w:rPr>
        <w:t>0</w:t>
      </w:r>
      <w:r w:rsidR="001E10DF">
        <w:rPr>
          <w:sz w:val="24"/>
          <w:szCs w:val="24"/>
        </w:rPr>
        <w:t xml:space="preserve">C, </w:t>
      </w:r>
      <w:r w:rsidR="001E10DF">
        <w:rPr>
          <w:i/>
          <w:iCs/>
          <w:sz w:val="24"/>
          <w:szCs w:val="24"/>
        </w:rPr>
        <w:t>A. eurystoma</w:t>
      </w:r>
      <w:r w:rsidR="001E10DF">
        <w:rPr>
          <w:sz w:val="24"/>
          <w:szCs w:val="24"/>
        </w:rPr>
        <w:t xml:space="preserve"> following 32 and 34</w:t>
      </w:r>
      <w:r w:rsidR="001E10DF">
        <w:rPr>
          <w:sz w:val="24"/>
          <w:szCs w:val="24"/>
          <w:vertAlign w:val="superscript"/>
        </w:rPr>
        <w:t>0</w:t>
      </w:r>
      <w:r w:rsidR="001E10DF">
        <w:rPr>
          <w:sz w:val="24"/>
          <w:szCs w:val="24"/>
        </w:rPr>
        <w:t xml:space="preserve">C and </w:t>
      </w:r>
      <w:r w:rsidR="001E10DF">
        <w:rPr>
          <w:i/>
          <w:iCs/>
          <w:sz w:val="24"/>
          <w:szCs w:val="24"/>
        </w:rPr>
        <w:t>Porites sp.</w:t>
      </w:r>
      <w:r w:rsidR="001E10DF">
        <w:rPr>
          <w:sz w:val="24"/>
          <w:szCs w:val="24"/>
        </w:rPr>
        <w:t xml:space="preserve"> following 34</w:t>
      </w:r>
      <w:r w:rsidR="001E10DF">
        <w:rPr>
          <w:sz w:val="24"/>
          <w:szCs w:val="24"/>
          <w:vertAlign w:val="superscript"/>
        </w:rPr>
        <w:t>0</w:t>
      </w:r>
      <w:r w:rsidR="001E10DF">
        <w:rPr>
          <w:sz w:val="24"/>
          <w:szCs w:val="24"/>
        </w:rPr>
        <w:t xml:space="preserve">C. Protein was extracted as well from the corresponding control fragments </w:t>
      </w:r>
      <w:r w:rsidR="00496D82">
        <w:rPr>
          <w:sz w:val="24"/>
          <w:szCs w:val="24"/>
        </w:rPr>
        <w:t>which</w:t>
      </w:r>
      <w:r w:rsidR="001E10DF">
        <w:rPr>
          <w:sz w:val="24"/>
          <w:szCs w:val="24"/>
        </w:rPr>
        <w:t xml:space="preserve"> </w:t>
      </w:r>
      <w:r w:rsidR="00407EE9">
        <w:rPr>
          <w:sz w:val="24"/>
          <w:szCs w:val="24"/>
        </w:rPr>
        <w:t>were maintained</w:t>
      </w:r>
      <w:r w:rsidR="001E10DF">
        <w:rPr>
          <w:sz w:val="24"/>
          <w:szCs w:val="24"/>
        </w:rPr>
        <w:t xml:space="preserve"> at 24</w:t>
      </w:r>
      <w:r w:rsidR="001E10DF">
        <w:rPr>
          <w:sz w:val="24"/>
          <w:szCs w:val="24"/>
          <w:vertAlign w:val="superscript"/>
        </w:rPr>
        <w:t>0</w:t>
      </w:r>
      <w:r w:rsidR="001E10DF">
        <w:rPr>
          <w:sz w:val="24"/>
          <w:szCs w:val="24"/>
        </w:rPr>
        <w:t xml:space="preserve">C. </w:t>
      </w:r>
      <w:r w:rsidR="00407EE9">
        <w:rPr>
          <w:sz w:val="24"/>
          <w:szCs w:val="24"/>
        </w:rPr>
        <w:t>On ice, the t</w:t>
      </w:r>
      <w:r w:rsidR="001E10DF">
        <w:rPr>
          <w:sz w:val="24"/>
          <w:szCs w:val="24"/>
        </w:rPr>
        <w:t>issue was removed of the skeleton by a fine toothbrush</w:t>
      </w:r>
      <w:r w:rsidR="00407EE9">
        <w:rPr>
          <w:sz w:val="24"/>
          <w:szCs w:val="24"/>
        </w:rPr>
        <w:t xml:space="preserve"> into chilled 1-2 ml of </w:t>
      </w:r>
      <w:r w:rsidR="00407EE9" w:rsidRPr="00407EE9">
        <w:rPr>
          <w:sz w:val="24"/>
          <w:szCs w:val="24"/>
        </w:rPr>
        <w:t>phosphate buffered saline</w:t>
      </w:r>
      <w:r w:rsidR="00407EE9">
        <w:rPr>
          <w:sz w:val="24"/>
          <w:szCs w:val="24"/>
        </w:rPr>
        <w:t xml:space="preserve"> (PBSX1). The </w:t>
      </w:r>
      <w:proofErr w:type="spellStart"/>
      <w:r w:rsidR="00407EE9">
        <w:rPr>
          <w:sz w:val="24"/>
          <w:szCs w:val="24"/>
        </w:rPr>
        <w:t>lysates</w:t>
      </w:r>
      <w:proofErr w:type="spellEnd"/>
      <w:r w:rsidR="00407EE9">
        <w:rPr>
          <w:sz w:val="24"/>
          <w:szCs w:val="24"/>
        </w:rPr>
        <w:t xml:space="preserve"> were homogenized and centrifuged at </w:t>
      </w:r>
      <w:r w:rsidR="00407EE9" w:rsidRPr="00407EE9">
        <w:rPr>
          <w:sz w:val="24"/>
          <w:szCs w:val="24"/>
        </w:rPr>
        <w:t>4000 rpm, 4</w:t>
      </w:r>
      <w:r w:rsidR="00407EE9" w:rsidRPr="00407EE9">
        <w:rPr>
          <w:sz w:val="24"/>
          <w:szCs w:val="24"/>
          <w:vertAlign w:val="superscript"/>
        </w:rPr>
        <w:t>0</w:t>
      </w:r>
      <w:r w:rsidR="00407EE9" w:rsidRPr="00407EE9">
        <w:rPr>
          <w:sz w:val="24"/>
          <w:szCs w:val="24"/>
        </w:rPr>
        <w:t>C</w:t>
      </w:r>
      <w:r w:rsidR="00407EE9">
        <w:rPr>
          <w:sz w:val="24"/>
          <w:szCs w:val="24"/>
        </w:rPr>
        <w:t xml:space="preserve"> for</w:t>
      </w:r>
      <w:r w:rsidR="00407EE9" w:rsidRPr="00407EE9">
        <w:rPr>
          <w:sz w:val="24"/>
          <w:szCs w:val="24"/>
        </w:rPr>
        <w:t xml:space="preserve"> 10 minutes</w:t>
      </w:r>
      <w:r w:rsidR="00407EE9">
        <w:rPr>
          <w:sz w:val="24"/>
          <w:szCs w:val="24"/>
        </w:rPr>
        <w:t xml:space="preserve">. </w:t>
      </w:r>
      <w:r w:rsidR="00F17AB4">
        <w:rPr>
          <w:sz w:val="24"/>
          <w:szCs w:val="24"/>
        </w:rPr>
        <w:t>The s</w:t>
      </w:r>
      <w:r w:rsidR="00407EE9">
        <w:rPr>
          <w:sz w:val="24"/>
          <w:szCs w:val="24"/>
        </w:rPr>
        <w:t>upernatant with host protein was collected.</w:t>
      </w:r>
      <w:r w:rsidR="00496D82">
        <w:rPr>
          <w:sz w:val="24"/>
          <w:szCs w:val="24"/>
        </w:rPr>
        <w:t xml:space="preserve"> Total protein concentration of each sample was measured using the Bradford protein assay and </w:t>
      </w:r>
      <w:proofErr w:type="spellStart"/>
      <w:r w:rsidR="00496D82">
        <w:rPr>
          <w:sz w:val="24"/>
          <w:szCs w:val="24"/>
        </w:rPr>
        <w:t>BSA</w:t>
      </w:r>
      <w:proofErr w:type="spellEnd"/>
      <w:r w:rsidR="00496D82">
        <w:rPr>
          <w:sz w:val="24"/>
          <w:szCs w:val="24"/>
        </w:rPr>
        <w:t xml:space="preserve"> protein standard (both from </w:t>
      </w:r>
      <w:proofErr w:type="spellStart"/>
      <w:r w:rsidR="00496D82">
        <w:rPr>
          <w:sz w:val="24"/>
          <w:szCs w:val="24"/>
        </w:rPr>
        <w:t>BioRad</w:t>
      </w:r>
      <w:proofErr w:type="spellEnd"/>
      <w:r w:rsidR="00496D82">
        <w:rPr>
          <w:sz w:val="24"/>
          <w:szCs w:val="24"/>
        </w:rPr>
        <w:t xml:space="preserve">, CA, </w:t>
      </w:r>
      <w:proofErr w:type="gramStart"/>
      <w:r w:rsidR="00496D82">
        <w:rPr>
          <w:sz w:val="24"/>
          <w:szCs w:val="24"/>
        </w:rPr>
        <w:t>USA</w:t>
      </w:r>
      <w:proofErr w:type="gramEnd"/>
      <w:r w:rsidR="00496D82">
        <w:rPr>
          <w:sz w:val="24"/>
          <w:szCs w:val="24"/>
        </w:rPr>
        <w:t xml:space="preserve">) according to the </w:t>
      </w:r>
      <w:r w:rsidR="00496D82" w:rsidRPr="00496D82">
        <w:rPr>
          <w:sz w:val="24"/>
          <w:szCs w:val="24"/>
        </w:rPr>
        <w:t>manufacturer</w:t>
      </w:r>
      <w:r w:rsidR="00496D82">
        <w:rPr>
          <w:sz w:val="24"/>
          <w:szCs w:val="24"/>
        </w:rPr>
        <w:t>’s</w:t>
      </w:r>
      <w:r w:rsidR="00496D82" w:rsidRPr="00496D82">
        <w:rPr>
          <w:sz w:val="24"/>
          <w:szCs w:val="24"/>
        </w:rPr>
        <w:t xml:space="preserve"> instructions</w:t>
      </w:r>
      <w:r w:rsidR="00496D82">
        <w:rPr>
          <w:sz w:val="24"/>
          <w:szCs w:val="24"/>
        </w:rPr>
        <w:t>.</w:t>
      </w:r>
    </w:p>
    <w:p w:rsidR="00DB526C" w:rsidRDefault="00DB526C" w:rsidP="00DB526C">
      <w:pPr>
        <w:spacing w:line="360" w:lineRule="auto"/>
        <w:rPr>
          <w:b/>
          <w:bCs/>
          <w:sz w:val="24"/>
          <w:szCs w:val="24"/>
        </w:rPr>
      </w:pPr>
      <w:r w:rsidRPr="00DB526C">
        <w:rPr>
          <w:b/>
          <w:bCs/>
          <w:sz w:val="24"/>
          <w:szCs w:val="24"/>
        </w:rPr>
        <w:t>Protein Oxidation Assay</w:t>
      </w:r>
    </w:p>
    <w:p w:rsidR="0032277E" w:rsidRDefault="00DB526C" w:rsidP="005A1DC0">
      <w:pPr>
        <w:spacing w:line="360" w:lineRule="auto"/>
        <w:rPr>
          <w:sz w:val="24"/>
          <w:szCs w:val="24"/>
        </w:rPr>
      </w:pPr>
      <w:r>
        <w:rPr>
          <w:sz w:val="24"/>
          <w:szCs w:val="24"/>
        </w:rPr>
        <w:t xml:space="preserve">Protein oxidation was determined in extracts of corals fragments by measuring the degree of protein </w:t>
      </w:r>
      <w:proofErr w:type="spellStart"/>
      <w:r>
        <w:rPr>
          <w:sz w:val="24"/>
          <w:szCs w:val="24"/>
        </w:rPr>
        <w:t>carbonylation</w:t>
      </w:r>
      <w:proofErr w:type="spellEnd"/>
      <w:r>
        <w:rPr>
          <w:sz w:val="24"/>
          <w:szCs w:val="24"/>
        </w:rPr>
        <w:t xml:space="preserve"> present using </w:t>
      </w:r>
      <w:proofErr w:type="spellStart"/>
      <w:r>
        <w:rPr>
          <w:sz w:val="24"/>
          <w:szCs w:val="24"/>
        </w:rPr>
        <w:t>Oxyblot</w:t>
      </w:r>
      <w:proofErr w:type="spellEnd"/>
      <w:r w:rsidR="00EA2C9C">
        <w:rPr>
          <w:sz w:val="24"/>
          <w:szCs w:val="24"/>
        </w:rPr>
        <w:t xml:space="preserve"> </w:t>
      </w:r>
      <w:r w:rsidR="00EA2C9C" w:rsidRPr="00EA2C9C">
        <w:rPr>
          <w:sz w:val="24"/>
          <w:szCs w:val="24"/>
        </w:rPr>
        <w:t xml:space="preserve">protein oxidation </w:t>
      </w:r>
      <w:r>
        <w:rPr>
          <w:sz w:val="24"/>
          <w:szCs w:val="24"/>
        </w:rPr>
        <w:t>kit</w:t>
      </w:r>
      <w:r w:rsidR="00470797">
        <w:rPr>
          <w:sz w:val="24"/>
          <w:szCs w:val="24"/>
        </w:rPr>
        <w:t>,</w:t>
      </w:r>
      <w:r>
        <w:rPr>
          <w:sz w:val="24"/>
          <w:szCs w:val="24"/>
        </w:rPr>
        <w:t xml:space="preserve"> as recommended by the manufacturer</w:t>
      </w:r>
      <w:r w:rsidR="00470797">
        <w:rPr>
          <w:sz w:val="24"/>
          <w:szCs w:val="24"/>
        </w:rPr>
        <w:t xml:space="preserve"> (</w:t>
      </w:r>
      <w:r w:rsidR="00470797" w:rsidRPr="00470797">
        <w:rPr>
          <w:sz w:val="24"/>
          <w:szCs w:val="24"/>
        </w:rPr>
        <w:t>Millipore, Billerica, MA</w:t>
      </w:r>
      <w:r w:rsidR="00470797">
        <w:rPr>
          <w:sz w:val="24"/>
          <w:szCs w:val="24"/>
        </w:rPr>
        <w:t>)</w:t>
      </w:r>
      <w:r w:rsidR="005A1DC0">
        <w:rPr>
          <w:sz w:val="24"/>
          <w:szCs w:val="24"/>
        </w:rPr>
        <w:t xml:space="preserve"> </w:t>
      </w:r>
      <w:r w:rsidR="007C7285">
        <w:rPr>
          <w:sz w:val="24"/>
          <w:szCs w:val="24"/>
        </w:rPr>
        <w:fldChar w:fldCharType="begin" w:fldLock="1"/>
      </w:r>
      <w:r w:rsidR="005A1DC0">
        <w:rPr>
          <w:sz w:val="24"/>
          <w:szCs w:val="24"/>
        </w:rPr>
        <w:instrText>ADDIN CSL_CITATION { "citationItems" : [ { "id" : "ITEM-1", "itemData" : { "DOI" : "10.1104/pp.109.140046", "ISBN" : "0032-0889 (Print)\\r0032-0889 (Linking)", "ISSN" : "0032-0889", "PMID" : "19641031", "abstract" : "Thiamin and thiamin pyrophosphate (TPP) are well known for their important roles in human nutrition and enzyme catalysis. In this work, we present new evidence for an additional role of these compounds in the protection of cells against oxidative damage. Arabidopsis (Arabidopsis thaliana) plants subjected to abiotic stress conditions, such as high light, cold, osmotic, salinity, and oxidative treatments, accumulated thiamin and TPP. Moreover, the accumulation of these compounds in plants subjected to oxidative stress was accompanied by enhanced expression of transcripts encoding thiamin biosynthetic enzymes. When supplemented with exogenous thiamin, wild-type plants displayed enhanced tolerance to oxidative stress induced by paraquat. Thiamin application was also found to protect the reactive oxygen species-sensitive ascorbate peroxidase1 mutant from oxidative stress. Thiamin-induced tolerance to oxidative stress was accompanied by decreased production of reactive oxygen species in plants, as evidenced from decreased protein carbonylation and hydrogen peroxide accumulation. Because thiamin could protect the salicylic acid induction-deficient1 mutant against oxidative stress, thiamin-induced oxidative protection is likely independent of salicylic acid signaling or accumulation. Taken together, our studies suggest that thiamin and TPP function as important stress-response molecules that alleviate oxidative stress during different abiotic stress conditions.", "author" : [ { "dropping-particle" : "", "family" : "Tunc-Ozdemir", "given" : "Meral", "non-dropping-particle" : "", "parse-names" : false, "suffix" : "" }, { "dropping-particle" : "", "family" : "Miller", "given" : "Gad", "non-dropping-particle" : "", "parse-names" : false, "suffix" : "" }, { "dropping-particle" : "", "family" : "Song", "given" : "Luhua", "non-dropping-particle" : "", "parse-names" : false, "suffix" : "" }, { "dropping-particle" : "", "family" : "Kim", "given" : "James", "non-dropping-particle" : "", "parse-names" : false, "suffix" : "" }, { "dropping-particle" : "", "family" : "Sodek", "given" : "Ahmet", "non-dropping-particle" : "", "parse-names" : false, "suffix" : "" }, { "dropping-particle" : "", "family" : "Koussevitzky", "given" : "Shai", "non-dropping-particle" : "", "parse-names" : false, "suffix" : "" }, { "dropping-particle" : "", "family" : "Misra", "given" : "Amarendra Narayan", "non-dropping-particle" : "", "parse-names" : false, "suffix" : "" }, { "dropping-particle" : "", "family" : "Mittler", "given" : "Ron", "non-dropping-particle" : "", "parse-names" : false, "suffix" : "" }, { "dropping-particle" : "", "family" : "Shintani", "given" : "David", "non-dropping-particle" : "", "parse-names" : false, "suffix" : "" } ], "container-title" : "Plant physiology", "id" : "ITEM-1", "issue" : "1", "issued" : { "date-parts" : [ [ "2009" ] ] }, "page" : "421-432", "title" : "Thiamin confers enhanced tolerance to oxidative stress in Arabidopsis", "type" : "article-journal", "volume" : "151" }, "uris" : [ "http://www.mendeley.com/documents/?uuid=4a2fba31-bd98-4c84-9984-ef1e955f0633" ] }, { "id" : "ITEM-2", "itemData" : { "DOI" : "10.1104/pp.107.101436", "ISBN" : "0032-0889 (Print)\\r0032-0889 (Linking)", "ISSN" : "0032-0889", "PMID" : "17556505", "abstract" : "Reactive oxygen species (ROS) play a key signaling role in plants and are controlled in cells by a complex network of ROS metabolizing enzymes found in several different cellular compartments. To study how different ROS signals, generated in different cellular compartments, are integrated in cells, we generated a double mutant lacking thylakoid ascorbate peroxidase (tylapx) and cytosolic ascorbate peroxidase1 (apx1). Our analysis suggests that two different signals are generated in plants lacking cytosolic APX1 or tylAPX. The lack of a chloroplastic hydrogen peroxide removal enzyme triggers a specific signal in cells that results in enhanced tolerance to heat stress, whereas the lack of a cytosolic hydrogen peroxide removal enzyme triggers a different signal, which results in stunted growth and enhanced sensitivity to oxidative stress. When the two signals are coactivated in cells (i.e. tylapx/apx1), a new response is detected, suggesting that the integration of the two different signals results in a new signal that manifests in late flowering, low protein oxidation during light stress, and enhanced accumulation of anthocyanins. Our results demonstrate a high degree of plasticity in ROS signaling in Arabidopsis (Arabidopsis thaliana) and suggest the existence of redundant pathways for ROS protection that compensate for the lack of classical ROS removal enzymes such as cytosolic and chloroplastic APXs. Further investigation of the enhanced heat tolerance in plants lacking tylAPX, using mutants deficient in chloroplast-to-nuclei retrograde signaling, suggests the existence of a chloroplast-generated stress signal that enhances basal thermotolerance in plants.", "author" : [ { "dropping-particle" : "", "family" : "Miller", "given" : "Gad", "non-dropping-particle" : "", "parse-names" : false, "suffix" : "" }, { "dropping-particle" : "", "family" : "Suzuki", "given" : "Nobuhiro", "non-dropping-particle" : "", "parse-names" : false, "suffix" : "" }, { "dropping-particle" : "", "family" : "Rizhsky", "given" : "Ludmila", "non-dropping-particle" : "", "parse-names" : false, "suffix" : "" }, { "dropping-particle" : "", "family" : "Hegie", "given" : "Alicia", "non-dropping-particle" : "", "parse-names" : false, "suffix" : "" }, { "dropping-particle" : "", "family" : "Koussevitzky", "given" : "Shai", "non-dropping-particle" : "", "parse-names" : false, "suffix" : "" }, { "dropping-particle" : "", "family" : "Mittler", "given" : "Ron", "non-dropping-particle" : "", "parse-names" : false, "suffix" : "" } ], "container-title" : "Plant physiology", "id" : "ITEM-2", "issue" : "4", "issued" : { "date-parts" : [ [ "2007" ] ] }, "page" : "1777-1785", "title" : "Double mutants deficient in cytosolic and thylakoid ascorbate peroxidase reveal a complex mode of interaction between reactive oxygen species, plant development, and response to abiotic stresses", "type" : "article-journal", "volume" : "144" }, "uris" : [ "http://www.mendeley.com/documents/?uuid=362b59c6-c681-4d3e-ace4-1b45c1b4ed20" ] } ], "mendeley" : { "formattedCitation" : "(Tunc-Ozdemir et al., 2009; Miller et al., 2007)", "manualFormatting" : "(Tunc-Ozdemir et al., 2009; Miller et al., 2007", "plainTextFormattedCitation" : "(Tunc-Ozdemir et al., 2009; Miller et al., 2007)", "previouslyFormattedCitation" : "(Tunc-Ozdemir et al., 2009; Miller et al., 2007)" }, "properties" : { "noteIndex" : 0 }, "schema" : "https://github.com/citation-style-language/schema/raw/master/csl-citation.json" }</w:instrText>
      </w:r>
      <w:r w:rsidR="007C7285">
        <w:rPr>
          <w:sz w:val="24"/>
          <w:szCs w:val="24"/>
        </w:rPr>
        <w:fldChar w:fldCharType="separate"/>
      </w:r>
      <w:r w:rsidR="005A1DC0" w:rsidRPr="005A1DC0">
        <w:rPr>
          <w:noProof/>
          <w:sz w:val="24"/>
          <w:szCs w:val="24"/>
        </w:rPr>
        <w:t>(Tunc-Ozdemir et al., 2009; Miller et al., 2007</w:t>
      </w:r>
      <w:r w:rsidR="007C7285">
        <w:rPr>
          <w:sz w:val="24"/>
          <w:szCs w:val="24"/>
        </w:rPr>
        <w:fldChar w:fldCharType="end"/>
      </w:r>
      <w:r w:rsidR="007C7285">
        <w:rPr>
          <w:sz w:val="24"/>
          <w:szCs w:val="24"/>
        </w:rPr>
        <w:fldChar w:fldCharType="begin" w:fldLock="1"/>
      </w:r>
      <w:r w:rsidR="005A1DC0">
        <w:rPr>
          <w:sz w:val="24"/>
          <w:szCs w:val="24"/>
        </w:rPr>
        <w:instrText>ADDIN CSL_CITATION { "citationItems" : [ { "id" : "ITEM-1", "itemData" : { "DOI" : "10.1111/j.1462-2920.2009.01957.x", "ISSN" : "1462-2920", "PMID" : "19508337", "abstract" : "Oxidative stress has been implicated in the induction of programmed cell death in a wide variety of organisms. Acquiring antioxidant capacity is thought to enhance the viability of cells challenged by a subsequent oxidative stress. Counter-intuitively, we show that in two phytoplankton species, Chlamydomonas reinhardtii and Peridinium gatunense, representing the green and red plastid lineages, oxidative stress induced cell death in cultures that already possessed high antioxidant activity but not in cells that exhibited low activity. Cell death of low antioxidant possessing cultures was markedly enhanced by the addition of dehydroascorbate, a product of ascorbate peroxidase (APX), but not of ascorbate or reduced glutathione, and was preceded by increased metacaspase expression and activity. These data suggested that the level of APX and its products, strongly upregulated by oxidative stress, serves as a possible surveillance signal, reporting that the cells already experienced an earlier oxidative stress. Our data presents a novel role of APX in antioxidant activity and response to oxidative stress in photosynthetic microorganisms. Elimination of cysts production by phytoplankton cells that were already damaged by oxidative stress (indicated by the rise in oxidized proteins) as the inoculum for the following year's population may be the evolutionary trigger for this phenomenon.", "author" : [ { "dropping-particle" : "", "family" : "Murik", "given" : "Omer", "non-dropping-particle" : "", "parse-names" : false, "suffix" : "" }, { "dropping-particle" : "", "family" : "Kaplan", "given" : "Aaron", "non-dropping-particle" : "", "parse-names" : false, "suffix" : "" } ], "container-title" : "Environmental microbiology", "id" : "ITEM-1", "issue" : "9", "issued" : { "date-parts" : [ [ "2009", "9" ] ] }, "page" : "2301-9", "title" : "Paradoxically, prior acquisition of antioxidant activity enhances oxidative stress-induced cell death", "type" : "article-journal", "volume" : "11" }, "uris" : [ "http://www.mendeley.com/documents/?uuid=0e24f202-d8f6-4d84-b401-1a17a3eabc9c" ] } ], "mendeley" : { "formattedCitation" : "(Murik and Kaplan, 2009)", "manualFormatting" : ", Murik and Kaplan, 2009)", "plainTextFormattedCitation" : "(Murik and Kaplan, 2009)", "previouslyFormattedCitation" : "(Murik and Kaplan, 2009)" }, "properties" : { "noteIndex" : 0 }, "schema" : "https://github.com/citation-style-language/schema/raw/master/csl-citation.json" }</w:instrText>
      </w:r>
      <w:r w:rsidR="007C7285">
        <w:rPr>
          <w:sz w:val="24"/>
          <w:szCs w:val="24"/>
        </w:rPr>
        <w:fldChar w:fldCharType="separate"/>
      </w:r>
      <w:r w:rsidR="005A1DC0">
        <w:rPr>
          <w:noProof/>
          <w:sz w:val="24"/>
          <w:szCs w:val="24"/>
        </w:rPr>
        <w:t xml:space="preserve">, </w:t>
      </w:r>
      <w:r w:rsidR="005A1DC0" w:rsidRPr="005A1DC0">
        <w:rPr>
          <w:noProof/>
          <w:sz w:val="24"/>
          <w:szCs w:val="24"/>
        </w:rPr>
        <w:t>Murik and Kaplan, 2009)</w:t>
      </w:r>
      <w:r w:rsidR="007C7285">
        <w:rPr>
          <w:sz w:val="24"/>
          <w:szCs w:val="24"/>
        </w:rPr>
        <w:fldChar w:fldCharType="end"/>
      </w:r>
      <w:r w:rsidR="00470797">
        <w:rPr>
          <w:sz w:val="24"/>
          <w:szCs w:val="24"/>
        </w:rPr>
        <w:t>.</w:t>
      </w:r>
      <w:r w:rsidR="002D6EF1">
        <w:rPr>
          <w:sz w:val="24"/>
          <w:szCs w:val="24"/>
        </w:rPr>
        <w:t xml:space="preserve"> </w:t>
      </w:r>
      <w:r w:rsidR="000C550E">
        <w:rPr>
          <w:sz w:val="24"/>
          <w:szCs w:val="24"/>
        </w:rPr>
        <w:t>Ten micrograms of each p</w:t>
      </w:r>
      <w:r w:rsidR="002E72FD">
        <w:rPr>
          <w:sz w:val="24"/>
          <w:szCs w:val="24"/>
        </w:rPr>
        <w:t>rotein extract</w:t>
      </w:r>
      <w:r w:rsidR="000C550E">
        <w:rPr>
          <w:sz w:val="24"/>
          <w:szCs w:val="24"/>
        </w:rPr>
        <w:t xml:space="preserve"> were reacted with </w:t>
      </w:r>
      <w:r w:rsidR="000C550E" w:rsidRPr="000C550E">
        <w:rPr>
          <w:sz w:val="24"/>
          <w:szCs w:val="24"/>
        </w:rPr>
        <w:t>2</w:t>
      </w:r>
      <w:proofErr w:type="gramStart"/>
      <w:r w:rsidR="000C550E" w:rsidRPr="000C550E">
        <w:rPr>
          <w:sz w:val="24"/>
          <w:szCs w:val="24"/>
        </w:rPr>
        <w:t>,4</w:t>
      </w:r>
      <w:proofErr w:type="gramEnd"/>
      <w:r w:rsidR="000C550E" w:rsidRPr="000C550E">
        <w:rPr>
          <w:sz w:val="24"/>
          <w:szCs w:val="24"/>
        </w:rPr>
        <w:t xml:space="preserve">-dinitrophenylhydrazone </w:t>
      </w:r>
      <w:r w:rsidR="000C550E">
        <w:rPr>
          <w:sz w:val="24"/>
          <w:szCs w:val="24"/>
        </w:rPr>
        <w:t>(</w:t>
      </w:r>
      <w:proofErr w:type="spellStart"/>
      <w:r w:rsidR="000C550E">
        <w:rPr>
          <w:sz w:val="24"/>
          <w:szCs w:val="24"/>
        </w:rPr>
        <w:t>DNPH</w:t>
      </w:r>
      <w:proofErr w:type="spellEnd"/>
      <w:r w:rsidR="000C550E">
        <w:rPr>
          <w:sz w:val="24"/>
          <w:szCs w:val="24"/>
        </w:rPr>
        <w:t xml:space="preserve">) </w:t>
      </w:r>
      <w:r w:rsidR="000C550E" w:rsidRPr="000C550E">
        <w:rPr>
          <w:sz w:val="24"/>
          <w:szCs w:val="24"/>
        </w:rPr>
        <w:t xml:space="preserve">to label </w:t>
      </w:r>
      <w:proofErr w:type="spellStart"/>
      <w:r w:rsidR="000C550E" w:rsidRPr="000C550E">
        <w:rPr>
          <w:sz w:val="24"/>
          <w:szCs w:val="24"/>
        </w:rPr>
        <w:t>carbonylated</w:t>
      </w:r>
      <w:proofErr w:type="spellEnd"/>
      <w:r w:rsidR="000C550E" w:rsidRPr="000C550E">
        <w:rPr>
          <w:sz w:val="24"/>
          <w:szCs w:val="24"/>
        </w:rPr>
        <w:t xml:space="preserve"> amino acid residues on oxidized proteins.</w:t>
      </w:r>
      <w:r w:rsidR="000C550E">
        <w:rPr>
          <w:sz w:val="24"/>
          <w:szCs w:val="24"/>
        </w:rPr>
        <w:t xml:space="preserve"> </w:t>
      </w:r>
      <w:proofErr w:type="spellStart"/>
      <w:r w:rsidR="000C550E">
        <w:rPr>
          <w:sz w:val="24"/>
          <w:szCs w:val="24"/>
        </w:rPr>
        <w:t>DNPH</w:t>
      </w:r>
      <w:proofErr w:type="spellEnd"/>
      <w:r w:rsidR="000C550E">
        <w:rPr>
          <w:sz w:val="24"/>
          <w:szCs w:val="24"/>
        </w:rPr>
        <w:t xml:space="preserve">-labeled protein extracts were fractionated by 12.5% </w:t>
      </w:r>
      <w:proofErr w:type="spellStart"/>
      <w:r w:rsidR="000C550E">
        <w:rPr>
          <w:sz w:val="24"/>
          <w:szCs w:val="24"/>
        </w:rPr>
        <w:t>SDS</w:t>
      </w:r>
      <w:proofErr w:type="spellEnd"/>
      <w:r w:rsidR="000C550E">
        <w:rPr>
          <w:sz w:val="24"/>
          <w:szCs w:val="24"/>
        </w:rPr>
        <w:t>-PAGE and further t</w:t>
      </w:r>
      <w:r w:rsidR="000C550E" w:rsidRPr="000C550E">
        <w:rPr>
          <w:sz w:val="24"/>
          <w:szCs w:val="24"/>
        </w:rPr>
        <w:t xml:space="preserve">ransferred to a </w:t>
      </w:r>
      <w:proofErr w:type="spellStart"/>
      <w:r w:rsidR="000C550E">
        <w:rPr>
          <w:sz w:val="24"/>
          <w:szCs w:val="24"/>
        </w:rPr>
        <w:t>PVDF</w:t>
      </w:r>
      <w:proofErr w:type="spellEnd"/>
      <w:r w:rsidR="000C550E" w:rsidRPr="000C550E">
        <w:rPr>
          <w:sz w:val="24"/>
          <w:szCs w:val="24"/>
        </w:rPr>
        <w:t xml:space="preserve"> membrane</w:t>
      </w:r>
      <w:r w:rsidR="000C550E">
        <w:rPr>
          <w:sz w:val="24"/>
          <w:szCs w:val="24"/>
        </w:rPr>
        <w:t xml:space="preserve">. Following blocking with </w:t>
      </w:r>
      <w:proofErr w:type="spellStart"/>
      <w:r w:rsidR="000C550E">
        <w:rPr>
          <w:sz w:val="24"/>
          <w:szCs w:val="24"/>
        </w:rPr>
        <w:t>BSA</w:t>
      </w:r>
      <w:proofErr w:type="spellEnd"/>
      <w:r w:rsidR="000C550E">
        <w:rPr>
          <w:sz w:val="24"/>
          <w:szCs w:val="24"/>
        </w:rPr>
        <w:t xml:space="preserve"> 1%, the membrane was incubated with Rabbit Ant</w:t>
      </w:r>
      <w:r w:rsidR="00B05E96">
        <w:rPr>
          <w:sz w:val="24"/>
          <w:szCs w:val="24"/>
        </w:rPr>
        <w:t>i-</w:t>
      </w:r>
      <w:proofErr w:type="spellStart"/>
      <w:r w:rsidR="00B05E96">
        <w:rPr>
          <w:sz w:val="24"/>
          <w:szCs w:val="24"/>
        </w:rPr>
        <w:t>DNP</w:t>
      </w:r>
      <w:proofErr w:type="spellEnd"/>
      <w:r w:rsidR="00B05E96">
        <w:rPr>
          <w:sz w:val="24"/>
          <w:szCs w:val="24"/>
        </w:rPr>
        <w:t xml:space="preserve"> antibody (1:150 dilution) for 4 hr. A Cross-reacting protein bands to rabbit anti-DNP antibody </w:t>
      </w:r>
      <w:r w:rsidR="001B0553">
        <w:rPr>
          <w:sz w:val="24"/>
          <w:szCs w:val="24"/>
        </w:rPr>
        <w:t>were</w:t>
      </w:r>
      <w:r w:rsidR="00B05E96">
        <w:rPr>
          <w:sz w:val="24"/>
          <w:szCs w:val="24"/>
        </w:rPr>
        <w:t xml:space="preserve"> visualized using Goat Anti-Rabbit </w:t>
      </w:r>
      <w:proofErr w:type="spellStart"/>
      <w:r w:rsidR="00B05E96">
        <w:rPr>
          <w:sz w:val="24"/>
          <w:szCs w:val="24"/>
        </w:rPr>
        <w:t>IgG</w:t>
      </w:r>
      <w:proofErr w:type="spellEnd"/>
      <w:r w:rsidR="00B05E96">
        <w:rPr>
          <w:sz w:val="24"/>
          <w:szCs w:val="24"/>
        </w:rPr>
        <w:t xml:space="preserve"> (</w:t>
      </w:r>
      <w:proofErr w:type="spellStart"/>
      <w:r w:rsidR="00B05E96">
        <w:rPr>
          <w:sz w:val="24"/>
          <w:szCs w:val="24"/>
        </w:rPr>
        <w:t>HRP</w:t>
      </w:r>
      <w:proofErr w:type="spellEnd"/>
      <w:r w:rsidR="00B05E96">
        <w:rPr>
          <w:sz w:val="24"/>
          <w:szCs w:val="24"/>
        </w:rPr>
        <w:t xml:space="preserve">-conjugated) (1:300 dilution) and </w:t>
      </w:r>
      <w:proofErr w:type="spellStart"/>
      <w:r w:rsidR="00B05E96">
        <w:rPr>
          <w:sz w:val="24"/>
          <w:szCs w:val="24"/>
        </w:rPr>
        <w:t>chemiluminescence</w:t>
      </w:r>
      <w:proofErr w:type="spellEnd"/>
      <w:r w:rsidR="00B05E96">
        <w:rPr>
          <w:sz w:val="24"/>
          <w:szCs w:val="24"/>
        </w:rPr>
        <w:t xml:space="preserve"> detection.</w:t>
      </w:r>
      <w:r w:rsidR="0032277E">
        <w:rPr>
          <w:sz w:val="24"/>
          <w:szCs w:val="24"/>
        </w:rPr>
        <w:t xml:space="preserve"> Blots were analyzed using densitometry-analysis software (</w:t>
      </w:r>
      <w:proofErr w:type="spellStart"/>
      <w:r w:rsidR="0032277E">
        <w:rPr>
          <w:sz w:val="24"/>
          <w:szCs w:val="24"/>
        </w:rPr>
        <w:t>ImageJ</w:t>
      </w:r>
      <w:proofErr w:type="spellEnd"/>
      <w:r w:rsidR="0032277E">
        <w:rPr>
          <w:sz w:val="24"/>
          <w:szCs w:val="24"/>
        </w:rPr>
        <w:t xml:space="preserve"> - </w:t>
      </w:r>
      <w:hyperlink r:id="rId8" w:history="1">
        <w:r w:rsidR="0032277E" w:rsidRPr="00AE466C">
          <w:rPr>
            <w:rStyle w:val="Hyperlink"/>
            <w:sz w:val="24"/>
            <w:szCs w:val="24"/>
          </w:rPr>
          <w:t>http://rsb.info.nih.gov/ij/</w:t>
        </w:r>
      </w:hyperlink>
      <w:r w:rsidR="0032277E">
        <w:rPr>
          <w:sz w:val="24"/>
          <w:szCs w:val="24"/>
        </w:rPr>
        <w:t xml:space="preserve">) and normalized to total protein output </w:t>
      </w:r>
      <w:r w:rsidR="00092217">
        <w:rPr>
          <w:sz w:val="24"/>
          <w:szCs w:val="24"/>
        </w:rPr>
        <w:t>of</w:t>
      </w:r>
      <w:r w:rsidR="00E83F10">
        <w:rPr>
          <w:sz w:val="24"/>
          <w:szCs w:val="24"/>
        </w:rPr>
        <w:t xml:space="preserve"> </w:t>
      </w:r>
      <w:proofErr w:type="spellStart"/>
      <w:r w:rsidR="00E83F10">
        <w:rPr>
          <w:sz w:val="24"/>
          <w:szCs w:val="24"/>
        </w:rPr>
        <w:t>commasie</w:t>
      </w:r>
      <w:proofErr w:type="spellEnd"/>
      <w:r w:rsidR="00E83F10">
        <w:rPr>
          <w:sz w:val="24"/>
          <w:szCs w:val="24"/>
        </w:rPr>
        <w:t xml:space="preserve"> brilliant blue staining. </w:t>
      </w:r>
    </w:p>
    <w:p w:rsidR="00E542B7" w:rsidRDefault="00E542B7"/>
    <w:p w:rsidR="0032277E" w:rsidRDefault="0032277E">
      <w:pPr>
        <w:rPr>
          <w:b/>
          <w:bCs/>
          <w:sz w:val="26"/>
          <w:szCs w:val="26"/>
        </w:rPr>
      </w:pPr>
      <w:r w:rsidRPr="0032277E">
        <w:rPr>
          <w:b/>
          <w:bCs/>
          <w:sz w:val="26"/>
          <w:szCs w:val="26"/>
        </w:rPr>
        <w:t>Results</w:t>
      </w:r>
    </w:p>
    <w:p w:rsidR="00DF5079" w:rsidRDefault="00DF5079" w:rsidP="001A1E26">
      <w:pPr>
        <w:spacing w:line="360" w:lineRule="auto"/>
        <w:rPr>
          <w:sz w:val="24"/>
          <w:szCs w:val="24"/>
        </w:rPr>
      </w:pPr>
      <w:r w:rsidRPr="001B0553">
        <w:rPr>
          <w:sz w:val="24"/>
          <w:szCs w:val="24"/>
        </w:rPr>
        <w:t>Protein oxidation was visible and varied between coral species and trea</w:t>
      </w:r>
      <w:r w:rsidR="00BA4591" w:rsidRPr="001B0553">
        <w:rPr>
          <w:sz w:val="24"/>
          <w:szCs w:val="24"/>
        </w:rPr>
        <w:t>tments</w:t>
      </w:r>
      <w:r w:rsidR="006B7717" w:rsidRPr="001B0553">
        <w:rPr>
          <w:sz w:val="24"/>
          <w:szCs w:val="24"/>
        </w:rPr>
        <w:t xml:space="preserve"> (Figures S1 and S2)</w:t>
      </w:r>
      <w:r w:rsidR="00BA4591" w:rsidRPr="001B0553">
        <w:rPr>
          <w:sz w:val="24"/>
          <w:szCs w:val="24"/>
        </w:rPr>
        <w:t xml:space="preserve">. By comparing each treatment to the control, within the coral species, we can indicate a </w:t>
      </w:r>
      <w:r w:rsidR="00BA4591" w:rsidRPr="001B0553">
        <w:rPr>
          <w:sz w:val="24"/>
          <w:szCs w:val="24"/>
        </w:rPr>
        <w:lastRenderedPageBreak/>
        <w:t xml:space="preserve">least effect on </w:t>
      </w:r>
      <w:r w:rsidR="00BA4591" w:rsidRPr="001B0553">
        <w:rPr>
          <w:i/>
          <w:iCs/>
          <w:sz w:val="24"/>
          <w:szCs w:val="24"/>
        </w:rPr>
        <w:t>Porites sp.</w:t>
      </w:r>
      <w:r w:rsidR="00BA4591" w:rsidRPr="001B0553">
        <w:rPr>
          <w:sz w:val="24"/>
          <w:szCs w:val="24"/>
        </w:rPr>
        <w:t xml:space="preserve"> at 34</w:t>
      </w:r>
      <w:r w:rsidR="00BA4591" w:rsidRPr="001B0553">
        <w:rPr>
          <w:sz w:val="24"/>
          <w:szCs w:val="24"/>
          <w:vertAlign w:val="superscript"/>
        </w:rPr>
        <w:t>0</w:t>
      </w:r>
      <w:r w:rsidR="00BA4591" w:rsidRPr="001B0553">
        <w:rPr>
          <w:sz w:val="24"/>
          <w:szCs w:val="24"/>
        </w:rPr>
        <w:t xml:space="preserve">C. </w:t>
      </w:r>
      <w:r w:rsidR="00BA4591" w:rsidRPr="001B0553">
        <w:rPr>
          <w:i/>
          <w:iCs/>
          <w:sz w:val="24"/>
          <w:szCs w:val="24"/>
        </w:rPr>
        <w:t xml:space="preserve">S. </w:t>
      </w:r>
      <w:proofErr w:type="spellStart"/>
      <w:r w:rsidR="00BA4591" w:rsidRPr="001B0553">
        <w:rPr>
          <w:i/>
          <w:iCs/>
          <w:sz w:val="24"/>
          <w:szCs w:val="24"/>
        </w:rPr>
        <w:t>pistillata</w:t>
      </w:r>
      <w:proofErr w:type="spellEnd"/>
      <w:r w:rsidR="00BA4591" w:rsidRPr="001B0553">
        <w:rPr>
          <w:sz w:val="24"/>
          <w:szCs w:val="24"/>
        </w:rPr>
        <w:t xml:space="preserve"> protein oxidation </w:t>
      </w:r>
      <w:r w:rsidR="00EE3A15" w:rsidRPr="001B0553">
        <w:rPr>
          <w:sz w:val="24"/>
          <w:szCs w:val="24"/>
        </w:rPr>
        <w:t>was</w:t>
      </w:r>
      <w:r w:rsidR="00BA4591" w:rsidRPr="001B0553">
        <w:rPr>
          <w:sz w:val="24"/>
          <w:szCs w:val="24"/>
        </w:rPr>
        <w:t xml:space="preserve"> maximized at 34</w:t>
      </w:r>
      <w:r w:rsidR="00BA4591" w:rsidRPr="001B0553">
        <w:rPr>
          <w:sz w:val="24"/>
          <w:szCs w:val="24"/>
          <w:vertAlign w:val="superscript"/>
        </w:rPr>
        <w:t>0</w:t>
      </w:r>
      <w:r w:rsidR="00BA4591" w:rsidRPr="001B0553">
        <w:rPr>
          <w:sz w:val="24"/>
          <w:szCs w:val="24"/>
        </w:rPr>
        <w:t xml:space="preserve">C, while </w:t>
      </w:r>
      <w:r w:rsidR="00BA4591" w:rsidRPr="001B0553">
        <w:rPr>
          <w:i/>
          <w:iCs/>
          <w:sz w:val="24"/>
          <w:szCs w:val="24"/>
        </w:rPr>
        <w:t xml:space="preserve">A. eurystoma </w:t>
      </w:r>
      <w:r w:rsidR="00BA4591" w:rsidRPr="001B0553">
        <w:rPr>
          <w:sz w:val="24"/>
          <w:szCs w:val="24"/>
        </w:rPr>
        <w:t>already as temperatures reached 32</w:t>
      </w:r>
      <w:r w:rsidR="00BA4591" w:rsidRPr="001B0553">
        <w:rPr>
          <w:sz w:val="24"/>
          <w:szCs w:val="24"/>
          <w:vertAlign w:val="superscript"/>
        </w:rPr>
        <w:t>0</w:t>
      </w:r>
      <w:r w:rsidR="00EE3A15" w:rsidRPr="001B0553">
        <w:rPr>
          <w:sz w:val="24"/>
          <w:szCs w:val="24"/>
        </w:rPr>
        <w:t>C showed the largest effect.</w:t>
      </w:r>
    </w:p>
    <w:p w:rsidR="001B0553" w:rsidRPr="001B0553" w:rsidRDefault="001B0553" w:rsidP="00EE3A15">
      <w:pPr>
        <w:rPr>
          <w:sz w:val="24"/>
          <w:szCs w:val="24"/>
        </w:rPr>
      </w:pPr>
    </w:p>
    <w:p w:rsidR="005A1DC0" w:rsidRDefault="005A1DC0" w:rsidP="0093641F">
      <w:pPr>
        <w:rPr>
          <w:sz w:val="24"/>
          <w:szCs w:val="24"/>
        </w:rPr>
      </w:pPr>
    </w:p>
    <w:p w:rsidR="008023AA" w:rsidRDefault="005A1DC0">
      <w:pPr>
        <w:widowControl w:val="0"/>
        <w:autoSpaceDE w:val="0"/>
        <w:autoSpaceDN w:val="0"/>
        <w:adjustRightInd w:val="0"/>
        <w:spacing w:after="140" w:line="288" w:lineRule="auto"/>
        <w:ind w:left="480" w:hanging="480"/>
        <w:rPr>
          <w:b/>
          <w:bCs/>
          <w:sz w:val="26"/>
          <w:szCs w:val="26"/>
        </w:rPr>
      </w:pPr>
      <w:r w:rsidRPr="005A1DC0">
        <w:rPr>
          <w:b/>
          <w:bCs/>
          <w:sz w:val="26"/>
          <w:szCs w:val="26"/>
        </w:rPr>
        <w:t>Re</w:t>
      </w:r>
      <w:r>
        <w:rPr>
          <w:b/>
          <w:bCs/>
          <w:sz w:val="26"/>
          <w:szCs w:val="26"/>
        </w:rPr>
        <w:t>ferences</w:t>
      </w:r>
    </w:p>
    <w:p w:rsidR="005A1DC0" w:rsidRPr="005A1DC0" w:rsidRDefault="007C7285">
      <w:pPr>
        <w:widowControl w:val="0"/>
        <w:autoSpaceDE w:val="0"/>
        <w:autoSpaceDN w:val="0"/>
        <w:adjustRightInd w:val="0"/>
        <w:spacing w:after="140" w:line="288" w:lineRule="auto"/>
        <w:ind w:left="480" w:hanging="480"/>
        <w:rPr>
          <w:rFonts w:ascii="Calibri" w:hAnsi="Calibri" w:cs="Times New Roman"/>
          <w:noProof/>
          <w:sz w:val="24"/>
          <w:szCs w:val="24"/>
        </w:rPr>
      </w:pPr>
      <w:r>
        <w:rPr>
          <w:sz w:val="24"/>
          <w:szCs w:val="24"/>
        </w:rPr>
        <w:fldChar w:fldCharType="begin" w:fldLock="1"/>
      </w:r>
      <w:r w:rsidR="005A1DC0">
        <w:rPr>
          <w:sz w:val="24"/>
          <w:szCs w:val="24"/>
        </w:rPr>
        <w:instrText xml:space="preserve">ADDIN Mendeley Bibliography CSL_BIBLIOGRAPHY </w:instrText>
      </w:r>
      <w:r>
        <w:rPr>
          <w:sz w:val="24"/>
          <w:szCs w:val="24"/>
        </w:rPr>
        <w:fldChar w:fldCharType="separate"/>
      </w:r>
      <w:r w:rsidR="005A1DC0" w:rsidRPr="005A1DC0">
        <w:rPr>
          <w:rFonts w:ascii="Calibri" w:hAnsi="Calibri" w:cs="Times New Roman"/>
          <w:noProof/>
          <w:sz w:val="24"/>
          <w:szCs w:val="24"/>
        </w:rPr>
        <w:t xml:space="preserve">Miller, G., Suzuki, N., Rizhsky, L., Hegie, A., Koussevitzky, S., and Mittler, R. (2007). Double mutants deficient in cytosolic and thylakoid ascorbate peroxidase reveal a complex mode of interaction between reactive oxygen species, plant development, and response to abiotic stresses. </w:t>
      </w:r>
      <w:r w:rsidR="005A1DC0" w:rsidRPr="005A1DC0">
        <w:rPr>
          <w:rFonts w:ascii="Calibri" w:hAnsi="Calibri" w:cs="Times New Roman"/>
          <w:i/>
          <w:iCs/>
          <w:noProof/>
          <w:sz w:val="24"/>
          <w:szCs w:val="24"/>
        </w:rPr>
        <w:t>Plant Physiol.</w:t>
      </w:r>
      <w:r w:rsidR="005A1DC0" w:rsidRPr="005A1DC0">
        <w:rPr>
          <w:rFonts w:ascii="Calibri" w:hAnsi="Calibri" w:cs="Times New Roman"/>
          <w:noProof/>
          <w:sz w:val="24"/>
          <w:szCs w:val="24"/>
        </w:rPr>
        <w:t xml:space="preserve"> 144, 1777–1785. doi:10.1104/pp.107.101436.</w:t>
      </w:r>
    </w:p>
    <w:p w:rsidR="005A1DC0" w:rsidRPr="005A1DC0" w:rsidRDefault="005A1DC0">
      <w:pPr>
        <w:widowControl w:val="0"/>
        <w:autoSpaceDE w:val="0"/>
        <w:autoSpaceDN w:val="0"/>
        <w:adjustRightInd w:val="0"/>
        <w:spacing w:after="140" w:line="288" w:lineRule="auto"/>
        <w:ind w:left="480" w:hanging="480"/>
        <w:rPr>
          <w:rFonts w:ascii="Calibri" w:hAnsi="Calibri" w:cs="Times New Roman"/>
          <w:noProof/>
          <w:sz w:val="24"/>
          <w:szCs w:val="24"/>
        </w:rPr>
      </w:pPr>
      <w:r w:rsidRPr="005A1DC0">
        <w:rPr>
          <w:rFonts w:ascii="Calibri" w:hAnsi="Calibri" w:cs="Times New Roman"/>
          <w:noProof/>
          <w:sz w:val="24"/>
          <w:szCs w:val="24"/>
        </w:rPr>
        <w:t xml:space="preserve">Murik, O., and Kaplan, A. (2009). Paradoxically, prior acquisition of antioxidant activity enhances oxidative stress-induced cell death. </w:t>
      </w:r>
      <w:r w:rsidRPr="005A1DC0">
        <w:rPr>
          <w:rFonts w:ascii="Calibri" w:hAnsi="Calibri" w:cs="Times New Roman"/>
          <w:i/>
          <w:iCs/>
          <w:noProof/>
          <w:sz w:val="24"/>
          <w:szCs w:val="24"/>
        </w:rPr>
        <w:t>Environ. Microbiol.</w:t>
      </w:r>
      <w:r w:rsidRPr="005A1DC0">
        <w:rPr>
          <w:rFonts w:ascii="Calibri" w:hAnsi="Calibri" w:cs="Times New Roman"/>
          <w:noProof/>
          <w:sz w:val="24"/>
          <w:szCs w:val="24"/>
        </w:rPr>
        <w:t xml:space="preserve"> 11, 2301–9. doi:10.1111/j.1462-2920.2009.01957.x.</w:t>
      </w:r>
    </w:p>
    <w:p w:rsidR="005A1DC0" w:rsidRPr="005A1DC0" w:rsidRDefault="005A1DC0">
      <w:pPr>
        <w:widowControl w:val="0"/>
        <w:autoSpaceDE w:val="0"/>
        <w:autoSpaceDN w:val="0"/>
        <w:adjustRightInd w:val="0"/>
        <w:spacing w:after="140" w:line="288" w:lineRule="auto"/>
        <w:ind w:left="480" w:hanging="480"/>
        <w:rPr>
          <w:rFonts w:ascii="Calibri" w:hAnsi="Calibri"/>
          <w:noProof/>
          <w:sz w:val="24"/>
        </w:rPr>
      </w:pPr>
      <w:r w:rsidRPr="005A1DC0">
        <w:rPr>
          <w:rFonts w:ascii="Calibri" w:hAnsi="Calibri" w:cs="Times New Roman"/>
          <w:noProof/>
          <w:sz w:val="24"/>
          <w:szCs w:val="24"/>
        </w:rPr>
        <w:t xml:space="preserve">Tunc-Ozdemir, M., Miller, G., Song, L., Kim, J., Sodek, A., Koussevitzky, S., Misra, A. N., Mittler, R., and Shintani, D. (2009). Thiamin confers enhanced tolerance to oxidative stress in Arabidopsis. </w:t>
      </w:r>
      <w:r w:rsidRPr="005A1DC0">
        <w:rPr>
          <w:rFonts w:ascii="Calibri" w:hAnsi="Calibri" w:cs="Times New Roman"/>
          <w:i/>
          <w:iCs/>
          <w:noProof/>
          <w:sz w:val="24"/>
          <w:szCs w:val="24"/>
        </w:rPr>
        <w:t>Plant Physiol.</w:t>
      </w:r>
      <w:r w:rsidRPr="005A1DC0">
        <w:rPr>
          <w:rFonts w:ascii="Calibri" w:hAnsi="Calibri" w:cs="Times New Roman"/>
          <w:noProof/>
          <w:sz w:val="24"/>
          <w:szCs w:val="24"/>
        </w:rPr>
        <w:t xml:space="preserve"> 151, 421–432. doi:10.1104/pp.109.140046.</w:t>
      </w:r>
    </w:p>
    <w:p w:rsidR="005A1DC0" w:rsidRDefault="007C7285" w:rsidP="005A1DC0">
      <w:pPr>
        <w:widowControl w:val="0"/>
        <w:autoSpaceDE w:val="0"/>
        <w:autoSpaceDN w:val="0"/>
        <w:adjustRightInd w:val="0"/>
        <w:spacing w:after="140" w:line="288" w:lineRule="auto"/>
        <w:ind w:left="480" w:hanging="480"/>
        <w:rPr>
          <w:sz w:val="24"/>
          <w:szCs w:val="24"/>
        </w:rPr>
      </w:pPr>
      <w:r>
        <w:rPr>
          <w:sz w:val="24"/>
          <w:szCs w:val="24"/>
        </w:rPr>
        <w:fldChar w:fldCharType="end"/>
      </w:r>
    </w:p>
    <w:p w:rsidR="0093641F" w:rsidRPr="00366830" w:rsidRDefault="0093641F" w:rsidP="005F4F07">
      <w:pPr>
        <w:rPr>
          <w:sz w:val="24"/>
          <w:szCs w:val="24"/>
        </w:rPr>
      </w:pPr>
    </w:p>
    <w:sectPr w:rsidR="0093641F" w:rsidRPr="00366830" w:rsidSect="00E542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FF" w:rsidRDefault="00511AFF" w:rsidP="00DB526C">
      <w:pPr>
        <w:spacing w:after="0" w:line="240" w:lineRule="auto"/>
      </w:pPr>
      <w:r>
        <w:separator/>
      </w:r>
    </w:p>
  </w:endnote>
  <w:endnote w:type="continuationSeparator" w:id="0">
    <w:p w:rsidR="00511AFF" w:rsidRDefault="00511AFF" w:rsidP="00DB5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FF" w:rsidRDefault="00511AFF" w:rsidP="00DB526C">
      <w:pPr>
        <w:spacing w:after="0" w:line="240" w:lineRule="auto"/>
      </w:pPr>
      <w:r>
        <w:separator/>
      </w:r>
    </w:p>
  </w:footnote>
  <w:footnote w:type="continuationSeparator" w:id="0">
    <w:p w:rsidR="00511AFF" w:rsidRDefault="00511AFF" w:rsidP="00DB52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807381"/>
    <w:rsid w:val="000776A8"/>
    <w:rsid w:val="00092217"/>
    <w:rsid w:val="000C550E"/>
    <w:rsid w:val="001A1E26"/>
    <w:rsid w:val="001A20EE"/>
    <w:rsid w:val="001B03A8"/>
    <w:rsid w:val="001B0553"/>
    <w:rsid w:val="001E10DF"/>
    <w:rsid w:val="00251B60"/>
    <w:rsid w:val="002D6EF1"/>
    <w:rsid w:val="002E72FD"/>
    <w:rsid w:val="0030032D"/>
    <w:rsid w:val="00300C95"/>
    <w:rsid w:val="0032277E"/>
    <w:rsid w:val="00366830"/>
    <w:rsid w:val="00407EE9"/>
    <w:rsid w:val="0041342D"/>
    <w:rsid w:val="00470797"/>
    <w:rsid w:val="00496D82"/>
    <w:rsid w:val="004F3B37"/>
    <w:rsid w:val="00511AFF"/>
    <w:rsid w:val="00521306"/>
    <w:rsid w:val="00556737"/>
    <w:rsid w:val="005841BC"/>
    <w:rsid w:val="005A1DC0"/>
    <w:rsid w:val="005E4449"/>
    <w:rsid w:val="005F4F07"/>
    <w:rsid w:val="006B7717"/>
    <w:rsid w:val="00723389"/>
    <w:rsid w:val="007407EA"/>
    <w:rsid w:val="007729F5"/>
    <w:rsid w:val="00777A27"/>
    <w:rsid w:val="007C7285"/>
    <w:rsid w:val="008023AA"/>
    <w:rsid w:val="00807381"/>
    <w:rsid w:val="00862D4B"/>
    <w:rsid w:val="008816E9"/>
    <w:rsid w:val="008A2B41"/>
    <w:rsid w:val="0093641F"/>
    <w:rsid w:val="00B01CD5"/>
    <w:rsid w:val="00B05E96"/>
    <w:rsid w:val="00BA4591"/>
    <w:rsid w:val="00BB1163"/>
    <w:rsid w:val="00C65FA6"/>
    <w:rsid w:val="00D25E35"/>
    <w:rsid w:val="00DB526C"/>
    <w:rsid w:val="00DF4AAC"/>
    <w:rsid w:val="00DF5079"/>
    <w:rsid w:val="00E542B7"/>
    <w:rsid w:val="00E55AD9"/>
    <w:rsid w:val="00E8251C"/>
    <w:rsid w:val="00E83F10"/>
    <w:rsid w:val="00EA2C9C"/>
    <w:rsid w:val="00EE3A15"/>
    <w:rsid w:val="00F17AB4"/>
    <w:rsid w:val="00F660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2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26C"/>
  </w:style>
  <w:style w:type="paragraph" w:styleId="Footer">
    <w:name w:val="footer"/>
    <w:basedOn w:val="Normal"/>
    <w:link w:val="FooterChar"/>
    <w:uiPriority w:val="99"/>
    <w:semiHidden/>
    <w:unhideWhenUsed/>
    <w:rsid w:val="00DB52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26C"/>
  </w:style>
  <w:style w:type="character" w:styleId="Hyperlink">
    <w:name w:val="Hyperlink"/>
    <w:basedOn w:val="DefaultParagraphFont"/>
    <w:uiPriority w:val="99"/>
    <w:unhideWhenUsed/>
    <w:rsid w:val="0032277E"/>
    <w:rPr>
      <w:color w:val="0000FF" w:themeColor="hyperlink"/>
      <w:u w:val="single"/>
    </w:rPr>
  </w:style>
  <w:style w:type="paragraph" w:styleId="BalloonText">
    <w:name w:val="Balloon Text"/>
    <w:basedOn w:val="Normal"/>
    <w:link w:val="BalloonTextChar"/>
    <w:uiPriority w:val="99"/>
    <w:semiHidden/>
    <w:unhideWhenUsed/>
    <w:rsid w:val="0036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30"/>
    <w:rPr>
      <w:rFonts w:ascii="Tahoma" w:hAnsi="Tahoma" w:cs="Tahoma"/>
      <w:sz w:val="16"/>
      <w:szCs w:val="16"/>
    </w:rPr>
  </w:style>
  <w:style w:type="paragraph" w:customStyle="1" w:styleId="Default">
    <w:name w:val="Default"/>
    <w:rsid w:val="00251B60"/>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b.info.nih.gov/ij/" TargetMode="External"/><Relationship Id="rId3" Type="http://schemas.openxmlformats.org/officeDocument/2006/relationships/settings" Target="settings.xml"/><Relationship Id="rId7" Type="http://schemas.openxmlformats.org/officeDocument/2006/relationships/hyperlink" Target="mailto:oren.levy@biu.a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B8FBA-16F2-4852-99E3-EBEB9484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2015-05-20T07:08:00Z</cp:lastPrinted>
  <dcterms:created xsi:type="dcterms:W3CDTF">2016-01-17T06:50:00Z</dcterms:created>
  <dcterms:modified xsi:type="dcterms:W3CDTF">2016-01-17T06:50:00Z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keren.maor@live.com@www.mendeley.com</vt:lpwstr>
  </property>
  <property fmtid="{D5CDD505-2E9C-101B-9397-08002B2CF9AE}" pid="4" name="Mendeley Citation Style_1">
    <vt:lpwstr>http://www.zotero.org/styles/frontiers-in-marine-science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http://www.zotero.org/styles/current-biology</vt:lpwstr>
  </property>
  <property fmtid="{D5CDD505-2E9C-101B-9397-08002B2CF9AE}" pid="10" name="Mendeley Recent Style Name 2_1">
    <vt:lpwstr>Current Biology</vt:lpwstr>
  </property>
  <property fmtid="{D5CDD505-2E9C-101B-9397-08002B2CF9AE}" pid="11" name="Mendeley Recent Style Id 3_1">
    <vt:lpwstr>http://www.zotero.org/styles/frontiers-in-marine-science</vt:lpwstr>
  </property>
  <property fmtid="{D5CDD505-2E9C-101B-9397-08002B2CF9AE}" pid="12" name="Mendeley Recent Style Name 3_1">
    <vt:lpwstr>Frontiers in Marine Science</vt:lpwstr>
  </property>
  <property fmtid="{D5CDD505-2E9C-101B-9397-08002B2CF9AE}" pid="13" name="Mendeley Recent Style Id 4_1">
    <vt:lpwstr>http://www.zotero.org/styles/global-change-biology</vt:lpwstr>
  </property>
  <property fmtid="{D5CDD505-2E9C-101B-9397-08002B2CF9AE}" pid="14" name="Mendeley Recent Style Name 4_1">
    <vt:lpwstr>Global Change Biology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http://www.zotero.org/styles/scientific-reports</vt:lpwstr>
  </property>
  <property fmtid="{D5CDD505-2E9C-101B-9397-08002B2CF9AE}" pid="22" name="Mendeley Recent Style Name 8_1">
    <vt:lpwstr>Scientific Reports</vt:lpwstr>
  </property>
  <property fmtid="{D5CDD505-2E9C-101B-9397-08002B2CF9AE}" pid="23" name="Mendeley Recent Style Id 9_1">
    <vt:lpwstr>http://www.zotero.org/styles/springer-science-reviews</vt:lpwstr>
  </property>
  <property fmtid="{D5CDD505-2E9C-101B-9397-08002B2CF9AE}" pid="24" name="Mendeley Recent Style Name 9_1">
    <vt:lpwstr>Springer Science Reviews</vt:lpwstr>
  </property>
</Properties>
</file>