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37" w:rsidRDefault="003C4137" w:rsidP="003C41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Table S1: Papers reviewed on the subject of hybridization between marine species, with information on species, genetic relationships and divergence levels between hybridizing species, genetic marker used and clustering methods employed</w:t>
      </w:r>
      <w:r w:rsidRPr="006C69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describe hybrids</w:t>
      </w:r>
    </w:p>
    <w:tbl>
      <w:tblPr>
        <w:tblW w:w="15461" w:type="dxa"/>
        <w:tblInd w:w="-640" w:type="dxa"/>
        <w:tblLook w:val="04A0" w:firstRow="1" w:lastRow="0" w:firstColumn="1" w:lastColumn="0" w:noHBand="0" w:noVBand="1"/>
      </w:tblPr>
      <w:tblGrid>
        <w:gridCol w:w="2456"/>
        <w:gridCol w:w="3465"/>
        <w:gridCol w:w="1304"/>
        <w:gridCol w:w="1231"/>
        <w:gridCol w:w="1758"/>
        <w:gridCol w:w="1320"/>
        <w:gridCol w:w="1340"/>
        <w:gridCol w:w="1466"/>
        <w:gridCol w:w="1121"/>
      </w:tblGrid>
      <w:tr w:rsidR="003C4137" w:rsidRPr="00584843" w:rsidTr="00D37996">
        <w:trPr>
          <w:trHeight w:val="300"/>
        </w:trPr>
        <w:tc>
          <w:tcPr>
            <w:tcW w:w="245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>Reference</w:t>
            </w:r>
          </w:p>
        </w:tc>
        <w:tc>
          <w:tcPr>
            <w:tcW w:w="346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>Species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>Sister-species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>mtDNA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 xml:space="preserve"> divergence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>Occurrence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>Marker</w:t>
            </w:r>
          </w:p>
        </w:tc>
        <w:tc>
          <w:tcPr>
            <w:tcW w:w="39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  <w:r w:rsidRPr="0058484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>Clustering methods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4137" w:rsidRPr="00584843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</w:p>
        </w:tc>
        <w:tc>
          <w:tcPr>
            <w:tcW w:w="346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4137" w:rsidRPr="00584843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4137" w:rsidRPr="00584843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4137" w:rsidRPr="00584843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4137" w:rsidRPr="00584843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4137" w:rsidRPr="00584843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>HybridLab</w:t>
            </w:r>
            <w:proofErr w:type="spellEnd"/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>NewHybrids</w:t>
            </w:r>
            <w:proofErr w:type="spellEnd"/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ZA" w:eastAsia="en-ZA"/>
              </w:rPr>
              <w:t>Structure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McMillan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(1999)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C.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punctatofasciatus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C.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pelewensis</w:t>
            </w:r>
            <w:proofErr w:type="spellEnd"/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0.007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mtDNA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Roques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(2001)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fasciatus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mentella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allopatry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- hybrid zone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McCartney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(2003)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6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morphospecies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Nielsen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(2003)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G.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morhua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intraspecific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&lt;0.01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allopatry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- hybrid zone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Addison and Hart (2005)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droebachinensis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S. pallidus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Yaakub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(2006)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T.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jansenii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T.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quinquevittatum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S7 and other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nDNA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van Herwerden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(2006)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P.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leopardus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P.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maculatus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allopatry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- hybrid zone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Yaakub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(2007)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H.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garnoti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H.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bivittatus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Marie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(2007)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leucosternon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nigricans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Kuriiwa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(2007)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guttatus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lineatus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; 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virgatus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/S.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doliatus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ITS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corallinus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/S.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puellus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ITS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corallinus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A/S.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corallinus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0.064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allopatry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- hybrid zone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ITS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Roberts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(2009)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australis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butcheri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Machado-Schiaffino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(2010)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M.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albidus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M.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bilinearis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Montanari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(2012)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C.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trifasciatus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C.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lunulatus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allopatry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- hybrid zone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Ouanes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(2011)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aegyptica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senegalensis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allopatry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- hybrid zone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EPIC-PCR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Burford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(2011)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mystinus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intraspecific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allopatry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- hybrid zone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Mullen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(2012)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diencaeus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adustus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lastRenderedPageBreak/>
              <w:t>Vilaca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(2012)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pt-PT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pt-PT" w:eastAsia="en-ZA"/>
              </w:rPr>
              <w:t>C. caretta / E. imbricata / L. olivacea /C. mydas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Attard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(2012)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pt-PT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pt-PT" w:eastAsia="en-ZA"/>
              </w:rPr>
              <w:t>B. m. brevicauda / B. m. intermedia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584843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</w:t>
            </w: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icrosats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von der Heyden and Connell (2012)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C.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anglicus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/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C.puniceus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0.11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nuclear genes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Miralles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(2013)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G.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melas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G.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macrorhynchus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Muto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(2013)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vulpes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zonatus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AFLPs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Crego-Prieto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(2012)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L.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whiffiagonis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L.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boscii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Miralles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(2014)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M.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capensis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M.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paradoxus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0.077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Amaral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(2014)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clymene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longirostris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S.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coeruleoalba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nDNA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Potts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(2014)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coronus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inodorus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allopatry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- hybrid zone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Mirimin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(2014)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inodorus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japonicus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Sanders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(2014)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fuscus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laevis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0.004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Montanari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(2014)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C.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guttatissimus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C.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puntatofasciatus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allopatry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- hybrid zone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microsats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Coleman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(2014)</w:t>
            </w: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abdominalis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/ A.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vaigiensis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0.04</w:t>
            </w: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sympatry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S7 and other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nDNA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  <w:tr w:rsidR="003C4137" w:rsidRPr="00584843" w:rsidTr="00D37996">
        <w:trPr>
          <w:trHeight w:val="300"/>
        </w:trPr>
        <w:tc>
          <w:tcPr>
            <w:tcW w:w="2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>Bradbury</w:t>
            </w:r>
            <w:r w:rsidRPr="001C1EB7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en-ZA" w:eastAsia="en-ZA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ZA" w:eastAsia="en-ZA"/>
              </w:rPr>
              <w:t xml:space="preserve"> (2014)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G. </w:t>
            </w:r>
            <w:proofErr w:type="spellStart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>morhua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ZA" w:eastAsia="en-ZA"/>
              </w:rPr>
              <w:t xml:space="preserve"> </w:t>
            </w: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forms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intraspecific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&lt;0.01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proofErr w:type="spellStart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allopatry</w:t>
            </w:r>
            <w:proofErr w:type="spellEnd"/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 xml:space="preserve"> - hybrid zone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SNPs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137" w:rsidRPr="00DF1A9A" w:rsidRDefault="003C4137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</w:pPr>
            <w:r w:rsidRPr="00DF1A9A">
              <w:rPr>
                <w:rFonts w:ascii="Times New Roman" w:eastAsia="Times New Roman" w:hAnsi="Times New Roman" w:cs="Times New Roman"/>
                <w:sz w:val="22"/>
                <w:szCs w:val="22"/>
                <w:lang w:val="en-ZA" w:eastAsia="en-ZA"/>
              </w:rPr>
              <w:t>1</w:t>
            </w:r>
          </w:p>
        </w:tc>
      </w:tr>
    </w:tbl>
    <w:p w:rsidR="003C4137" w:rsidRDefault="003C4137" w:rsidP="003C4137">
      <w:pPr>
        <w:jc w:val="both"/>
        <w:rPr>
          <w:rFonts w:ascii="Times New Roman" w:hAnsi="Times New Roman"/>
          <w:lang w:val="en-ZA"/>
        </w:rPr>
      </w:pPr>
    </w:p>
    <w:p w:rsidR="0041410C" w:rsidRDefault="0041410C">
      <w:bookmarkStart w:id="0" w:name="_GoBack"/>
      <w:bookmarkEnd w:id="0"/>
    </w:p>
    <w:sectPr w:rsidR="0041410C" w:rsidSect="003C41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37"/>
    <w:rsid w:val="003C4137"/>
    <w:rsid w:val="004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7"/>
    <w:pPr>
      <w:spacing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7"/>
    <w:pPr>
      <w:spacing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Henriques</dc:creator>
  <cp:lastModifiedBy>Romina Henriques</cp:lastModifiedBy>
  <cp:revision>1</cp:revision>
  <dcterms:created xsi:type="dcterms:W3CDTF">2015-12-01T07:51:00Z</dcterms:created>
  <dcterms:modified xsi:type="dcterms:W3CDTF">2015-12-01T07:51:00Z</dcterms:modified>
</cp:coreProperties>
</file>