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8" w:type="dxa"/>
        <w:jc w:val="center"/>
        <w:tblLook w:val="04A0" w:firstRow="1" w:lastRow="0" w:firstColumn="1" w:lastColumn="0" w:noHBand="0" w:noVBand="1"/>
      </w:tblPr>
      <w:tblGrid>
        <w:gridCol w:w="2990"/>
        <w:gridCol w:w="1863"/>
        <w:gridCol w:w="1547"/>
        <w:gridCol w:w="2578"/>
        <w:gridCol w:w="198"/>
        <w:gridCol w:w="950"/>
      </w:tblGrid>
      <w:tr w:rsidR="001157B9" w:rsidRPr="00A20D54" w:rsidTr="003B68BC">
        <w:trPr>
          <w:trHeight w:val="1"/>
          <w:jc w:val="center"/>
        </w:trPr>
        <w:tc>
          <w:tcPr>
            <w:tcW w:w="999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EEECE1" w:themeFill="background2"/>
            <w:noWrap/>
            <w:hideMark/>
          </w:tcPr>
          <w:p w:rsidR="001157B9" w:rsidRPr="00A20D54" w:rsidRDefault="001157B9" w:rsidP="003B68BC">
            <w:pPr>
              <w:spacing w:after="20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bookmarkStart w:id="0" w:name="_Toc395105933"/>
            <w:r w:rsidRPr="00A20D54">
              <w:rPr>
                <w:rFonts w:ascii="Times New Roman" w:hAnsi="Times New Roman" w:cs="Times New Roman"/>
                <w:b/>
                <w:sz w:val="24"/>
                <w:szCs w:val="24"/>
              </w:rPr>
              <w:t>Comparison of patient characteristics among survivors and non-survivors.</w:t>
            </w:r>
            <w:bookmarkEnd w:id="0"/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EEECE1" w:themeFill="background2"/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Patient Characteristic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EEECE1" w:themeFill="background2"/>
            <w:noWrap/>
            <w:hideMark/>
          </w:tcPr>
          <w:p w:rsidR="001157B9" w:rsidRPr="00A20D54" w:rsidRDefault="001157B9" w:rsidP="003B68BC">
            <w:pPr>
              <w:tabs>
                <w:tab w:val="decimal" w:pos="1404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Survivors (n=200,083)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EEECE1" w:themeFill="background2"/>
            <w:noWrap/>
            <w:hideMark/>
          </w:tcPr>
          <w:p w:rsidR="001157B9" w:rsidRPr="00A20D54" w:rsidRDefault="001157B9" w:rsidP="003B68BC">
            <w:pPr>
              <w:tabs>
                <w:tab w:val="decimal" w:pos="1135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Non-Survivors (n=1,096 )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EEECE1" w:themeFill="background2"/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 xml:space="preserve">   Unadjusted OR</w:t>
            </w:r>
            <w:r w:rsidRPr="00A20D54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  <w:r w:rsidRPr="00A20D54">
              <w:rPr>
                <w:rFonts w:ascii="Times New Roman" w:hAnsi="Times New Roman" w:cs="Times New Roman"/>
                <w:b/>
                <w:sz w:val="22"/>
              </w:rPr>
              <w:t xml:space="preserve"> (95%      Confidence Interval)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EEECE1" w:themeFill="background2"/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P value</w:t>
            </w:r>
            <w:r w:rsidRPr="00A20D54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</w:tc>
      </w:tr>
      <w:tr w:rsidR="001157B9" w:rsidRPr="00A20D54" w:rsidTr="003B68BC">
        <w:trPr>
          <w:trHeight w:val="236"/>
          <w:jc w:val="center"/>
        </w:trPr>
        <w:tc>
          <w:tcPr>
            <w:tcW w:w="299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Median Age (IQR)</w:t>
            </w:r>
            <w:r w:rsidRPr="00A20D54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</w:tc>
        <w:tc>
          <w:tcPr>
            <w:tcW w:w="1735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 xml:space="preserve">      52(41-66)</w:t>
            </w:r>
          </w:p>
        </w:tc>
        <w:tc>
          <w:tcPr>
            <w:tcW w:w="154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84 (75-89)</w:t>
            </w:r>
          </w:p>
        </w:tc>
        <w:tc>
          <w:tcPr>
            <w:tcW w:w="2578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1.12 (1.11 to 1.12)</w:t>
            </w:r>
          </w:p>
        </w:tc>
        <w:tc>
          <w:tcPr>
            <w:tcW w:w="114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&lt;0.001</w:t>
            </w: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Sex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Males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81,560 (40.8%)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510 (46.5%)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Females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118,523 (59.2%)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586 (53.5%)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0.79 (0.74 to 0.90)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&lt;0.001</w:t>
            </w: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Hypertension</w:t>
            </w:r>
          </w:p>
        </w:tc>
        <w:tc>
          <w:tcPr>
            <w:tcW w:w="1735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42,013 (21.0%)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450 (41.1%)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2.62 (2.32 to 2.96)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&lt;0.001</w:t>
            </w: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Myocardial Infarction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6,956 (3.5%)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132 (3.5%)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3.80 (3.16 to 4.57)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&lt;0.001</w:t>
            </w: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Heart Failure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2,287 (1.1%)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81 (7.4%)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6.90 (5.49 to 8.69)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&lt;0.001</w:t>
            </w: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Peripheral Vascular Disease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2,017 (1.0%)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50 (1.0%)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4.69 (3.52 to 6.26)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&lt;0.001</w:t>
            </w: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Chronic Lung Disease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37,482 (18.7 %)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246 (22.5 %)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1.26 (1.19 to 1.45)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0.002</w:t>
            </w: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Diabetes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18,888 (9.4%)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175 (16.0%)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1.82 (1.55 to 2.14)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&lt;0.001</w:t>
            </w: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A20D54">
              <w:rPr>
                <w:rFonts w:ascii="Times New Roman" w:hAnsi="Times New Roman" w:cs="Times New Roman"/>
                <w:b/>
                <w:sz w:val="22"/>
              </w:rPr>
              <w:t>Charlson’s</w:t>
            </w:r>
            <w:proofErr w:type="spellEnd"/>
            <w:r w:rsidRPr="00A20D54">
              <w:rPr>
                <w:rFonts w:ascii="Times New Roman" w:hAnsi="Times New Roman" w:cs="Times New Roman"/>
                <w:b/>
                <w:sz w:val="22"/>
              </w:rPr>
              <w:t xml:space="preserve"> Comorbidity Score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145,642(72.8%)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282 (25.7%)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1-2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39,454 (19.7%)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510 (46.5%)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6.68   (5.77 to 7.72)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3-5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11,277 (5.6%)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220 (20.1%)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10.18 (8.43 to 12.03)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&gt; 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3,710 (1.9%)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84 (7.7%)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11.69 (9.15 to 14.95)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&lt;0.001</w:t>
            </w: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Statins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26,882 (13.4%)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213 (19.4%)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1.55 (1.34 to1.81)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&lt;0.001</w:t>
            </w: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Fibrates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607 (0.3%)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4 (0.4%)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1.20 (0.45 to 3.22)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0.712</w:t>
            </w: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A20D54">
              <w:rPr>
                <w:rFonts w:ascii="Times New Roman" w:hAnsi="Times New Roman" w:cs="Times New Roman"/>
                <w:b/>
                <w:sz w:val="22"/>
              </w:rPr>
              <w:t>Glitazones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920 (0.5%)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3 (0.3%)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0.59 (0.19 to 1.85)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0.369</w:t>
            </w: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Metformin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6,576 (3.3%)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41 (3.7%)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1.14 (0.34 to 1.57)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0.401</w:t>
            </w: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 xml:space="preserve">HbA1c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3 (0.0%)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2 (0.2%)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121.93 (20.36 to 730.40)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&lt;0.001</w:t>
            </w: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ACE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4,004 (2.0%)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29 (2.7%)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1.33 (0.92 to 1.93)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0.13</w:t>
            </w: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Beta Blockers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7,692 (3.8%)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70 (6.4%)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1.71 (1.34 to 2.18)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&lt;0.001</w:t>
            </w: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ARB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8,102 (4.1%)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43 (3.9%)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0.97 (0.71 to 1.31)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0.833</w:t>
            </w: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Smoking status</w:t>
            </w:r>
          </w:p>
        </w:tc>
        <w:tc>
          <w:tcPr>
            <w:tcW w:w="1735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never smoker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24,343 (18.3%)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96 (13.3 %)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ex-smoker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74,636 (56.1%)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344 (47.6%)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1.17 (0.93 to 1.47)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current smoker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34,137 (25.6%)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282 (39.1%)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2.09 (1.66 to 2.64)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&lt;0.001</w:t>
            </w:r>
            <w:r w:rsidRPr="00A20D5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A20D54">
              <w:rPr>
                <w:rFonts w:ascii="Times New Roman" w:hAnsi="Times New Roman" w:cs="Times New Roman"/>
                <w:b/>
                <w:sz w:val="22"/>
              </w:rPr>
              <w:t>BMI</w:t>
            </w:r>
            <w:r w:rsidRPr="00A20D54">
              <w:rPr>
                <w:rFonts w:ascii="Times New Roman" w:hAnsi="Times New Roman" w:cs="Times New Roman"/>
                <w:b/>
                <w:sz w:val="22"/>
                <w:vertAlign w:val="superscript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underweight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2,587 (2.1%)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107 (17.2%)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normal weight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42,004 (34.5%)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247 (44.1%)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1.15 (0.98 to 1.37)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overweight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44,189 (36.2%)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148 (23.7%)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1.54 (1.14 to 2.08)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299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 xml:space="preserve">    obese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932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33,185 (27.2%)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650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93 (15.0%)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317"/>
              </w:tabs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2.71 (1.56 to 4.72)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1157B9" w:rsidRPr="00A20D54" w:rsidRDefault="001157B9" w:rsidP="003B68BC">
            <w:pPr>
              <w:tabs>
                <w:tab w:val="decimal" w:pos="274"/>
              </w:tabs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&lt;0.001</w:t>
            </w:r>
            <w:r w:rsidRPr="00A20D5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1157B9" w:rsidRPr="00A20D54" w:rsidTr="003B68BC">
        <w:trPr>
          <w:trHeight w:val="1"/>
          <w:jc w:val="center"/>
        </w:trPr>
        <w:tc>
          <w:tcPr>
            <w:tcW w:w="99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EEECE1" w:themeFill="background2"/>
            <w:noWrap/>
          </w:tcPr>
          <w:p w:rsidR="001157B9" w:rsidRPr="00A20D54" w:rsidRDefault="001157B9" w:rsidP="003B68BC">
            <w:pPr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  <w:r w:rsidRPr="00A20D54">
              <w:rPr>
                <w:rFonts w:ascii="Times New Roman" w:hAnsi="Times New Roman" w:cs="Times New Roman"/>
                <w:sz w:val="22"/>
              </w:rPr>
              <w:t xml:space="preserve">Odds ratio; </w:t>
            </w:r>
            <w:r w:rsidRPr="00A20D54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A20D54">
              <w:rPr>
                <w:rFonts w:ascii="Times New Roman" w:hAnsi="Times New Roman" w:cs="Times New Roman"/>
                <w:sz w:val="22"/>
              </w:rPr>
              <w:t>Wald’s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20D54">
              <w:rPr>
                <w:rFonts w:ascii="Times New Roman" w:hAnsi="Times New Roman" w:cs="Times New Roman"/>
                <w:i/>
                <w:sz w:val="22"/>
              </w:rPr>
              <w:t>p values</w:t>
            </w:r>
            <w:r w:rsidRPr="00A20D54">
              <w:rPr>
                <w:rFonts w:ascii="Times New Roman" w:hAnsi="Times New Roman" w:cs="Times New Roman"/>
                <w:sz w:val="22"/>
              </w:rPr>
              <w:t xml:space="preserve">; </w:t>
            </w:r>
            <w:r w:rsidRPr="00A20D54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A20D54">
              <w:rPr>
                <w:rFonts w:ascii="Times New Roman" w:hAnsi="Times New Roman" w:cs="Times New Roman"/>
                <w:sz w:val="22"/>
              </w:rPr>
              <w:t xml:space="preserve">Interquartile range; </w:t>
            </w:r>
            <w:r w:rsidRPr="00A20D54">
              <w:rPr>
                <w:rFonts w:ascii="Times New Roman" w:hAnsi="Times New Roman" w:cs="Times New Roman"/>
                <w:sz w:val="22"/>
                <w:vertAlign w:val="superscript"/>
              </w:rPr>
              <w:t>4</w:t>
            </w:r>
            <w:r w:rsidRPr="00A20D54">
              <w:rPr>
                <w:rFonts w:ascii="Times New Roman" w:hAnsi="Times New Roman" w:cs="Times New Roman"/>
                <w:sz w:val="22"/>
              </w:rPr>
              <w:t xml:space="preserve">Body mass index; </w:t>
            </w:r>
            <w:r w:rsidRPr="00A20D5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  <w:r w:rsidRPr="00A20D54">
              <w:rPr>
                <w:rFonts w:ascii="Times New Roman" w:hAnsi="Times New Roman" w:cs="Times New Roman"/>
                <w:sz w:val="22"/>
              </w:rPr>
              <w:t xml:space="preserve">Wald’s </w:t>
            </w:r>
            <w:r w:rsidRPr="00A20D54">
              <w:rPr>
                <w:rFonts w:ascii="Times New Roman" w:hAnsi="Times New Roman" w:cs="Times New Roman"/>
                <w:i/>
                <w:sz w:val="22"/>
              </w:rPr>
              <w:t>p value</w:t>
            </w:r>
            <w:r w:rsidRPr="00A20D54">
              <w:rPr>
                <w:rFonts w:ascii="Times New Roman" w:hAnsi="Times New Roman" w:cs="Times New Roman"/>
                <w:sz w:val="22"/>
              </w:rPr>
              <w:t xml:space="preserve"> for trend</w:t>
            </w:r>
          </w:p>
          <w:p w:rsidR="001157B9" w:rsidRPr="00A20D54" w:rsidRDefault="001157B9" w:rsidP="003B68BC">
            <w:pPr>
              <w:rPr>
                <w:rFonts w:ascii="Times New Roman" w:hAnsi="Times New Roman" w:cs="Times New Roman"/>
                <w:sz w:val="22"/>
              </w:rPr>
            </w:pPr>
            <w:r w:rsidRPr="00A20D54">
              <w:rPr>
                <w:rFonts w:ascii="Times New Roman" w:hAnsi="Times New Roman" w:cs="Times New Roman"/>
                <w:sz w:val="22"/>
              </w:rPr>
              <w:t>Significant p values shown in bold</w:t>
            </w:r>
            <w:r w:rsidRPr="00A20D54">
              <w:rPr>
                <w:rFonts w:ascii="Times New Roman" w:hAnsi="Times New Roman" w:cs="Times New Roman"/>
                <w:sz w:val="22"/>
              </w:rPr>
              <w:tab/>
            </w:r>
          </w:p>
        </w:tc>
      </w:tr>
    </w:tbl>
    <w:p w:rsidR="008F1C21" w:rsidRDefault="008F1C21">
      <w:bookmarkStart w:id="1" w:name="_GoBack"/>
      <w:bookmarkEnd w:id="1"/>
    </w:p>
    <w:sectPr w:rsidR="008F1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B9"/>
    <w:rsid w:val="001157B9"/>
    <w:rsid w:val="008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B9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7B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B9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7B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Venkatesan Sudhir</dc:creator>
  <cp:lastModifiedBy>Venkatesan Sudhir</cp:lastModifiedBy>
  <cp:revision>1</cp:revision>
  <dcterms:created xsi:type="dcterms:W3CDTF">2016-02-12T10:24:00Z</dcterms:created>
  <dcterms:modified xsi:type="dcterms:W3CDTF">2016-02-12T10:24:00Z</dcterms:modified>
</cp:coreProperties>
</file>