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46" w:rsidRPr="00E370EC" w:rsidRDefault="00F32A46" w:rsidP="00F32A46">
      <w:pPr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S3 table</w:t>
      </w:r>
      <w:r w:rsidRPr="00E370EC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The differentially expressed proteins identified from the study that interact with each other in the protein-protein network analysis.</w:t>
      </w:r>
    </w:p>
    <w:tbl>
      <w:tblPr>
        <w:tblStyle w:val="TableGrid"/>
        <w:tblW w:w="5615" w:type="pct"/>
        <w:tblLayout w:type="fixed"/>
        <w:tblLook w:val="04A0" w:firstRow="1" w:lastRow="0" w:firstColumn="1" w:lastColumn="0" w:noHBand="0" w:noVBand="1"/>
      </w:tblPr>
      <w:tblGrid>
        <w:gridCol w:w="2620"/>
        <w:gridCol w:w="1930"/>
        <w:gridCol w:w="1924"/>
        <w:gridCol w:w="1780"/>
        <w:gridCol w:w="1871"/>
      </w:tblGrid>
      <w:tr w:rsidR="00F32A46" w:rsidRPr="007A0803" w:rsidTr="00B7031D">
        <w:trPr>
          <w:trHeight w:val="340"/>
        </w:trPr>
        <w:tc>
          <w:tcPr>
            <w:tcW w:w="1294" w:type="pct"/>
            <w:vMerge w:val="restart"/>
          </w:tcPr>
          <w:p w:rsidR="00F32A46" w:rsidRPr="007A0803" w:rsidRDefault="00F32A46" w:rsidP="00B703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Protein </w:t>
            </w:r>
            <w:r w:rsidRPr="007A08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953" w:type="pct"/>
            <w:vMerge w:val="restart"/>
          </w:tcPr>
          <w:p w:rsidR="00F32A46" w:rsidRPr="007A0803" w:rsidRDefault="00F32A46" w:rsidP="00B703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GO Biological process</w:t>
            </w:r>
          </w:p>
        </w:tc>
        <w:tc>
          <w:tcPr>
            <w:tcW w:w="950" w:type="pct"/>
            <w:vMerge w:val="restart"/>
          </w:tcPr>
          <w:p w:rsidR="00F32A46" w:rsidRPr="007A0803" w:rsidRDefault="00F32A46" w:rsidP="00B703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GO Molecular function</w:t>
            </w:r>
          </w:p>
        </w:tc>
        <w:tc>
          <w:tcPr>
            <w:tcW w:w="879" w:type="pct"/>
            <w:vMerge w:val="restart"/>
          </w:tcPr>
          <w:p w:rsidR="00F32A46" w:rsidRPr="007A0803" w:rsidRDefault="00F32A46" w:rsidP="00B703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Canonical pathways</w:t>
            </w:r>
          </w:p>
        </w:tc>
        <w:tc>
          <w:tcPr>
            <w:tcW w:w="924" w:type="pct"/>
            <w:vMerge w:val="restart"/>
          </w:tcPr>
          <w:p w:rsidR="00F32A46" w:rsidRPr="007A0803" w:rsidRDefault="00F32A46" w:rsidP="00B7031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Predicted interacting partner</w:t>
            </w:r>
          </w:p>
        </w:tc>
      </w:tr>
      <w:tr w:rsidR="00F32A46" w:rsidRPr="007A0803" w:rsidTr="00B7031D">
        <w:trPr>
          <w:trHeight w:val="230"/>
        </w:trPr>
        <w:tc>
          <w:tcPr>
            <w:tcW w:w="1294" w:type="pct"/>
            <w:vMerge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53" w:type="pct"/>
            <w:vMerge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50" w:type="pct"/>
            <w:vMerge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  <w:vMerge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lusterin</w:t>
            </w:r>
            <w:proofErr w:type="spellEnd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preproprotein [</w:t>
            </w:r>
            <w:r w:rsidRPr="007A080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cell organization and biogenesis; cell communication; cell death; regulation of biological process; response to stimulus; transport; metabolic process; coagulation; cell proliferation; development; cell differentiation; defense response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protein binding; catalytic activity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LXR/RXR activation, </w:t>
            </w:r>
            <w:proofErr w:type="spellStart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Clathrin</w:t>
            </w:r>
            <w:proofErr w:type="spellEnd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-mediated endocytosis </w:t>
            </w:r>
            <w:proofErr w:type="spellStart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signalling</w:t>
            </w:r>
            <w:proofErr w:type="spellEnd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Atherosclerosis signaling, Production of Nitric Oxide and Reactive Oxygen Species in Macrophages, FXR/RXR activation,</w:t>
            </w:r>
          </w:p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IL-12 signaling and production in macrophages</w:t>
            </w: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aptoglobin</w:t>
            </w:r>
            <w:proofErr w:type="spellEnd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isoform 2 preproprotein [</w:t>
            </w:r>
            <w:r w:rsidRPr="007A080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metabolic process; cellular homeostasis; defense response; response to stimulus; cell death; regulation of biological process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catalytic activity; protein binding; antioxidant activity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IL-12 signaling and production in Macrophages,  Acute phase response signaling</w:t>
            </w: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apolipoprotein A-I (direct)</w:t>
            </w:r>
          </w:p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hemoglobin (direct)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acrophage migration inhibitory factor [</w:t>
            </w:r>
            <w:r w:rsidRPr="007A080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metabolic process; regulation of biological process; cell death; defense response; response to stimulus; cell communication; cell proliferation; transport; cell organization and biogenesis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catalytic activity; protein binding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hemoglobin (indirect)</w:t>
            </w:r>
          </w:p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peroxiredoxin-1</w:t>
            </w:r>
          </w:p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(direct)</w:t>
            </w:r>
          </w:p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metalloproteinase inhibitor 1</w:t>
            </w:r>
          </w:p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ropomyosin alpha-3 chain isoform 2 [</w:t>
            </w:r>
            <w:r w:rsidRPr="007A080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cellular component movement; regulation of biological process; cell communication; response to stimulus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protein binding; structural molecule activity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rotein S100-A9 [</w:t>
            </w:r>
            <w:r w:rsidRPr="007A080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cellular component movement; defense response; response to stimulus; metabolic process; cell death; regulation of biological process; 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cell communication; cell growth; cell organization and biogenesis; cellular homeostasis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signal transducer activity; metal ion binding; protein binding; antioxidant activity; catalytic activity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Role of IL-17A in Psoriasis</w:t>
            </w: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protein S100-A8</w:t>
            </w:r>
          </w:p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A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nnexin</w:t>
            </w:r>
            <w:proofErr w:type="spellEnd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A1 [</w:t>
            </w:r>
            <w:r w:rsidRPr="007A080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defense response; regulation of biological process; response to stimulus; cellular component movement; cell communication; metabolic process; transport; cell differentiation; development; cell organization and biogenesis; cell death; cell proliferation; reproduction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DNA binding; RNA binding; enzyme regulator activity; protein binding; structural molecule activity; metal ion binding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actin, cytoplasmic 1 (direct)</w:t>
            </w:r>
          </w:p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myeloblastin</w:t>
            </w:r>
            <w:proofErr w:type="spellEnd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eat shock cognate 71 </w:t>
            </w:r>
            <w:proofErr w:type="spellStart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kDa</w:t>
            </w:r>
            <w:proofErr w:type="spellEnd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protein isoform 1 </w:t>
            </w:r>
            <w:r w:rsidRPr="007A080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[Homo sapiens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cell organization and biogenesis; metabolic process; regulation of biological process; transport; response to stimulus; cell communication; cell differentiation; cellular component movement; development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nucleotide binding; protein binding; catalytic activity; RNA binding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Clathrin</w:t>
            </w:r>
            <w:proofErr w:type="spellEnd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-mediated endocytosis signaling</w:t>
            </w: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heat shock 70 </w:t>
            </w:r>
            <w:proofErr w:type="spellStart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kDa</w:t>
            </w:r>
            <w:proofErr w:type="spellEnd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protein 1A/1B</w:t>
            </w:r>
          </w:p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lpha-enolase isoform 1 [</w:t>
            </w:r>
            <w:r w:rsidRPr="007A080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metabolic process; regulation of biological process; response to stimulus; cell growth; cell organization and biogenesis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metal ion binding; DNA binding; catalytic activity; protein binding; RNA binding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Glycolysis I, Gluconeogenesis I</w:t>
            </w: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glyceraldehyde-3-phosphate dehydrogenase isoform 2 (indirect)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yeloblastin</w:t>
            </w:r>
            <w:proofErr w:type="spellEnd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precursor [</w:t>
            </w:r>
            <w:r w:rsidRPr="007A080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metabolic process; cell proliferation; regulation of biological process; cell organization and biogenesis; transport; cell differentiation; development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catalytic activity; protein binding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annexin</w:t>
            </w:r>
            <w:proofErr w:type="spellEnd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A1 (direct)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rofilin-1 [</w:t>
            </w:r>
            <w:r w:rsidRPr="007A080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development; transport; metabolic process; regulation of biological process; cell organization and biogenesis; 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coagulation; response to stimulus; cell death; cellular component movement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enzyme regulator activity; nucleotide binding; protein binding; RNA binding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Regulation of actin-based motility by Rho, Actin cytoskeleton signaling</w:t>
            </w: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Actin (direct)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M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yeloperoxidase precursor [</w:t>
            </w:r>
            <w:r w:rsidRPr="007A080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response to stimulus; metabolic process; defense response; cell organization and biogenesis; regulation of biological process; cell death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antioxidant activity; catalytic activity; metal ion binding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Production of Nitric Oxide and Reactive Oxygen Species in Macrophages</w:t>
            </w: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lactotransferrin</w:t>
            </w:r>
            <w:proofErr w:type="spellEnd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isoform 1 (direct)</w:t>
            </w:r>
          </w:p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cathelicidin</w:t>
            </w:r>
            <w:proofErr w:type="spellEnd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antimicrobial peptide (indirect)</w:t>
            </w:r>
          </w:p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lpha-1-antitrypsin precursor [</w:t>
            </w:r>
            <w:r w:rsidRPr="007A080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tabs>
                <w:tab w:val="left" w:pos="720"/>
              </w:tabs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response to stimulus; transport; defense response; coagulation; metabolic process; regulation of biological process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tabs>
                <w:tab w:val="left" w:pos="720"/>
              </w:tabs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protein binding; enzyme regulator activity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tabs>
                <w:tab w:val="left" w:pos="720"/>
              </w:tabs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LXR/RXR activation,</w:t>
            </w:r>
            <w:r w:rsidRPr="007A080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Clathrin</w:t>
            </w:r>
            <w:proofErr w:type="spellEnd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-mediated endocytosis </w:t>
            </w:r>
            <w:proofErr w:type="spellStart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signalling</w:t>
            </w:r>
            <w:proofErr w:type="spellEnd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Atherosclerosis </w:t>
            </w:r>
            <w:proofErr w:type="spellStart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signalling</w:t>
            </w:r>
            <w:proofErr w:type="spellEnd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Production of Nitric Oxide and Reactive Oxygen Species in Macrophages,</w:t>
            </w:r>
          </w:p>
          <w:p w:rsidR="00F32A46" w:rsidRPr="007A0803" w:rsidRDefault="00F32A46" w:rsidP="00B7031D">
            <w:pPr>
              <w:tabs>
                <w:tab w:val="left" w:pos="720"/>
              </w:tabs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FXR/RXR activation, IL-12 signaling and production in Macrophages,</w:t>
            </w:r>
          </w:p>
          <w:p w:rsidR="00F32A46" w:rsidRPr="007A0803" w:rsidRDefault="00F32A46" w:rsidP="00B7031D">
            <w:pPr>
              <w:tabs>
                <w:tab w:val="left" w:pos="720"/>
              </w:tabs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Acute phase response signaling</w:t>
            </w:r>
          </w:p>
        </w:tc>
        <w:tc>
          <w:tcPr>
            <w:tcW w:w="924" w:type="pct"/>
          </w:tcPr>
          <w:p w:rsidR="00F32A46" w:rsidRPr="007A0803" w:rsidRDefault="00F32A46" w:rsidP="00B7031D">
            <w:pPr>
              <w:tabs>
                <w:tab w:val="left" w:pos="720"/>
              </w:tabs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Low density lipoprotein (direct)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athelicidin</w:t>
            </w:r>
            <w:proofErr w:type="spellEnd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antimicrobial peptide preproprotein [</w:t>
            </w:r>
            <w:r w:rsidRPr="007A080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metabolic process; regulation of biological process; defense response; response to stimulus; cell proliferation; development; cell organization and biogenesis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protein binding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Myeloperoxidase (indirect)</w:t>
            </w:r>
          </w:p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glyceraldehyde-3-phosphate dehydrogenase isoform 2 (direct)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eat shock 70 </w:t>
            </w:r>
            <w:proofErr w:type="spellStart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kDa</w:t>
            </w:r>
            <w:proofErr w:type="spellEnd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protein 1A/1B [</w:t>
            </w:r>
            <w:r w:rsidRPr="007A080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nucleotide binding; receptor activity; RNA binding; protein binding; catalytic activity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cell organization and biogenesis; metabolic process; response to stimulus; cell proliferation; regulation of biological process; cell death; cell growth; cell differentiation; development; cell communication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heat shock cognate 71 </w:t>
            </w:r>
            <w:proofErr w:type="spellStart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kDa</w:t>
            </w:r>
            <w:proofErr w:type="spellEnd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protein isoform 1 (direct)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C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omplement C3 precursor [</w:t>
            </w:r>
            <w:r w:rsidRPr="007A080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defense response; regulation of biological process; response to stimulus; metabolic process; cell communication; transport; development; cell organization and biogenesis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enzyme regulator activity; protein binding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LXR/RXR activation, FXR/RXR activation, Acute phase response signaling</w:t>
            </w: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Low density lipoprotein (indirect)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L-lactate dehydrogenase A chain isoform 3 [</w:t>
            </w:r>
            <w:r w:rsidRPr="007A080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metabolic process; development; cell communication; response to stimulus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nucleotide binding; catalytic activity; protein binding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pyruvate kinase isozymes M1/M2 isoform c (indirect)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ntileukoproteinase</w:t>
            </w:r>
            <w:proofErr w:type="spellEnd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precursor [</w:t>
            </w:r>
            <w:r w:rsidRPr="007A080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metabolic process; regulation of biological process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enzyme regulator activity; protein binding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neutrophil elastase (indirect)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zrin</w:t>
            </w:r>
            <w:proofErr w:type="spellEnd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[</w:t>
            </w:r>
            <w:r w:rsidRPr="007A080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cell organization and biogenesis; cell differentiation; cellular component movement; development; response to stimulus; regulation of biological process; metabolic process; transport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protein binding; RNA binding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Leukocyte extravasation signaling, Actin cytoskeleton signaling</w:t>
            </w: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Actin (direct)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eutrophil gelatinase-associated </w:t>
            </w:r>
            <w:proofErr w:type="spellStart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lipocalin</w:t>
            </w:r>
            <w:proofErr w:type="spellEnd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precursor [</w:t>
            </w:r>
            <w:r w:rsidRPr="007A080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transport; cell death; response to stimulus; metabolic process; regulation of biological process; cellular homeostasis; cell organization and biogenesis; cell communication; defense response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protein binding; transporter activity; metal ion binding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matrix metalloproteinase-9 (direct)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atrix metalloproteinase-9 preproprotein [</w:t>
            </w:r>
            <w:r w:rsidRPr="007A080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development; response to stimulus; metabolic process; reproduction; cell growth; cell organization and biogenesis; cell differentiation; cell communication; regulation of biological process; cell death; cellular component movement; transport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protein binding; catalytic activity; metal ion binding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LXR/RXR activation, Atherosclerosis </w:t>
            </w:r>
            <w:proofErr w:type="spellStart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signalling</w:t>
            </w:r>
            <w:proofErr w:type="spellEnd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Leukocyte extravasation signaling</w:t>
            </w: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neutrophil gelatinase-associated </w:t>
            </w:r>
            <w:proofErr w:type="spellStart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lipocalin</w:t>
            </w:r>
            <w:proofErr w:type="spellEnd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actotransferrin</w:t>
            </w:r>
            <w:proofErr w:type="spellEnd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isoform 1 precursor [</w:t>
            </w:r>
            <w:r w:rsidRPr="007A080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regulation of biological process; 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defense response; response to stimulus; metabolic process; transport; cellular homeostasis; cell communication; cell proliferation; cell death; cell differentiation; development; cell organization and biogenesis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 xml:space="preserve">DNA binding; catalytic activity; 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metal ion binding; protein binding; enzyme regulator activity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Myeloperoxidase (direct)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M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etalloproteinase inhibitor 1 precursor [</w:t>
            </w:r>
            <w:r w:rsidRPr="007A080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transport; coagulation; response to stimulus; cell proliferation; regulation of biological process; metabolic process; cell organization and biogenesis; cell death; cell differentiation; development; cellular component movement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Leukocyte extravasation signaling</w:t>
            </w: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macrophage migration inhibitory factor (indirect)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yruvate kinase isozymes M1/M2 isoform c [</w:t>
            </w:r>
            <w:r w:rsidRPr="007A080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Homo sapiens]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response to stimulus; development; metabolic process; cell death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metal ion binding; catalytic activity; protein binding; nucleotide binding; RNA binding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Glycolysis I, </w:t>
            </w: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L-lactate dehydrogenase A chain isoform 3 (indirect)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eutrophil elastase preproprotein [</w:t>
            </w:r>
            <w:r w:rsidRPr="007A080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Homo sapiens]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metabolic process; regulation of biological process; response to stimulus; defense response; cellular homeostasis; transport; cell organization and biogenesis; cell communication; cell proliferation; cellular component movement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protein binding; catalytic activity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Antileukoproteinase</w:t>
            </w:r>
            <w:proofErr w:type="spellEnd"/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(indirect)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polipoprotein A-I preproprotein [</w:t>
            </w:r>
            <w:r w:rsidRPr="007A080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Homo sapiens]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metabolic process; regulation of biological process; cell proliferation; transport; response to stimulus; cell communication; coagulation; cell organization and biogenesis; cell differentiation; development; 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cellular component movement; defense response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transporter activity; protein binding; enzyme regulator activity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LXR/RXR activation, </w:t>
            </w:r>
            <w:proofErr w:type="spellStart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Clathrin</w:t>
            </w:r>
            <w:proofErr w:type="spellEnd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-mediated endocytosis </w:t>
            </w:r>
            <w:proofErr w:type="spellStart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signalling</w:t>
            </w:r>
            <w:proofErr w:type="spellEnd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Atherosclerosis </w:t>
            </w:r>
            <w:proofErr w:type="spellStart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signalling</w:t>
            </w:r>
            <w:proofErr w:type="spellEnd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Production of Nitric Oxide and Reactive Oxygen Species in Macrophages, 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FXR/RXR activation, IL-12 signaling and production in macrophages, Acute phase response signaling</w:t>
            </w: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phospholipid transfer protein isoform a (direct)</w:t>
            </w:r>
          </w:p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A0803">
              <w:rPr>
                <w:rFonts w:ascii="Arial" w:hAnsi="Arial" w:cs="Arial"/>
                <w:sz w:val="20"/>
                <w:szCs w:val="20"/>
                <w:lang w:val="en-US"/>
              </w:rPr>
              <w:t>haptoglobin</w:t>
            </w:r>
            <w:proofErr w:type="spellEnd"/>
            <w:r w:rsidRPr="007A0803">
              <w:rPr>
                <w:rFonts w:ascii="Arial" w:hAnsi="Arial" w:cs="Arial"/>
                <w:sz w:val="20"/>
                <w:szCs w:val="20"/>
                <w:lang w:val="en-US"/>
              </w:rPr>
              <w:t xml:space="preserve"> isoform 2 (direct)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lastRenderedPageBreak/>
              <w:t>A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denylyl cyclase-associated protein 1 [</w:t>
            </w:r>
            <w:r w:rsidRPr="007A080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cell organization and biogenesis; cellular component movement; transport; cell communication; regulation of biological process; response to stimulus; metabolic process; cell differentiation; development; coagulation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protein binding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 actin (indirect)</w:t>
            </w:r>
          </w:p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Actin (direct)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ctin, cytoplasmic 1 [</w:t>
            </w:r>
            <w:r w:rsidRPr="007A080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Homo sapiens]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cell organization and biogenesis; metabolic process; cellular component movement; cell differentiation; development; response to stimulus; coagulation; cell communication; regulation of biological process; transport; defense response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nucleotide binding; DNA binding; structural molecule activity; protein binding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Clathrin</w:t>
            </w:r>
            <w:proofErr w:type="spellEnd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-mediated endocytosis </w:t>
            </w:r>
            <w:proofErr w:type="spellStart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signalling</w:t>
            </w:r>
            <w:proofErr w:type="spellEnd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Leukocyte extravasation signaling,</w:t>
            </w:r>
            <w:r w:rsidRPr="007A0803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Regulation of actin-based motility by Rho,  Actin cytoskeleton signaling</w:t>
            </w: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Annexin</w:t>
            </w:r>
            <w:proofErr w:type="spellEnd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A1 (direct)</w:t>
            </w:r>
          </w:p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gelsolin isoform d (direct)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elsolin isoform d [</w:t>
            </w:r>
            <w:r w:rsidRPr="007A080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Homo sapiens]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cell death; cell organization and biogenesis; cell differentiation; development; transport; regulation of biological process; response to stimulus; cell communication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protein binding; metal ion binding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Regulation of actin-based motility by Rho, Actin cytoskeleton signaling</w:t>
            </w: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actin, cytoplasmic 1 (direct)</w:t>
            </w:r>
          </w:p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F-actin (direct)</w:t>
            </w:r>
          </w:p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actin (direct)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lastin-2 [</w:t>
            </w:r>
            <w:r w:rsidRPr="007A080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response to stimulus; cell communication; regulation of biological process; cellular component movement; development; transport; cell organization and biogenesis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protein binding; metal ion binding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F-actin (indirect)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G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lyceraldehyde-3-phosphate dehydrogenase isoform 2 [</w:t>
            </w:r>
            <w:r w:rsidRPr="007A080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cell organization and biogenesis; metabolic process; regulation of biological process; cell death; defense response; response to stimulus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catalytic activity; protein binding; nucleotide binding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Glycolysis I, Gluconeogenesis I</w:t>
            </w: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alpha-enolase isoform 1 (indirect)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hospholipid transfer protein isoform a precursor [</w:t>
            </w:r>
            <w:r w:rsidRPr="007A080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metabolic process; transport; cellular component movement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LXR/RXR activation, 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FXR/RXR activation</w:t>
            </w: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apolipoprotein A-I (direct)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rotein S100-A8 [</w:t>
            </w:r>
            <w:r w:rsidRPr="007A080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Homo sapiens]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cellular component movement; defense response; response to stimulus; metabolic process; cell death; regulation of biological process; cell growth; cell organization and biogenesis; cellular homeostasis; cell communication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metal ion binding; protein binding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LXR/RXR activation, </w:t>
            </w:r>
            <w:proofErr w:type="spellStart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Clathrin</w:t>
            </w:r>
            <w:proofErr w:type="spellEnd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-mediated endocytosis </w:t>
            </w:r>
            <w:proofErr w:type="spellStart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signalling</w:t>
            </w:r>
            <w:proofErr w:type="spellEnd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Atherosclerosis </w:t>
            </w:r>
            <w:proofErr w:type="spellStart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signalling</w:t>
            </w:r>
            <w:proofErr w:type="spellEnd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Production of Nitric Oxide and Reactive Oxygen Species in Macrophages, Role of IL-17A in Psoriasis, IL-12 signaling and production in Macrophages</w:t>
            </w: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protein S100-A9 (direct)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ipocalin-1 isoform 1 precursor [</w:t>
            </w:r>
            <w:r w:rsidRPr="007A080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metabolic process; transport; regulation of biological process; response to stimulus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enzyme regulator activity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matrix metalloproteinase-9 (direct)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emoglobin subunit alpha [</w:t>
            </w:r>
            <w:r w:rsidRPr="007A080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Homo sapiens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transport; cell death; regulation of biological process; response to stimulus; metabolic process; cell organization and biogenesis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antioxidant activity; catalytic activity; transporter activity; metal ion binding; protein binding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macrophage migration inhibitory factor (indirect)</w:t>
            </w:r>
          </w:p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apolipoprotein A-I (direct)</w:t>
            </w:r>
          </w:p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haptoglobin</w:t>
            </w:r>
            <w:proofErr w:type="spellEnd"/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isoform 2 (direct)</w:t>
            </w:r>
          </w:p>
        </w:tc>
      </w:tr>
      <w:tr w:rsidR="00F32A46" w:rsidRPr="007A0803" w:rsidTr="00B7031D">
        <w:trPr>
          <w:trHeight w:val="340"/>
        </w:trPr>
        <w:tc>
          <w:tcPr>
            <w:tcW w:w="129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eroxiredoxin-1 [</w:t>
            </w:r>
            <w:r w:rsidRPr="007A0803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Homo sapiens]</w:t>
            </w:r>
          </w:p>
        </w:tc>
        <w:tc>
          <w:tcPr>
            <w:tcW w:w="953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response to stimulus; development; cell proliferation; metabolic process; cell communication; regulation of biological process; defense response; transport</w:t>
            </w:r>
          </w:p>
        </w:tc>
        <w:tc>
          <w:tcPr>
            <w:tcW w:w="950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antioxidant activity; catalytic activity; protein binding; RNA binding</w:t>
            </w:r>
          </w:p>
        </w:tc>
        <w:tc>
          <w:tcPr>
            <w:tcW w:w="879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4" w:type="pct"/>
          </w:tcPr>
          <w:p w:rsidR="00F32A46" w:rsidRPr="007A0803" w:rsidRDefault="00F32A46" w:rsidP="00B7031D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A080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macrophage migration inhibitory factor (direct)</w:t>
            </w:r>
          </w:p>
        </w:tc>
      </w:tr>
    </w:tbl>
    <w:p w:rsidR="008D31E8" w:rsidRDefault="008D31E8">
      <w:bookmarkStart w:id="0" w:name="_GoBack"/>
      <w:bookmarkEnd w:id="0"/>
    </w:p>
    <w:sectPr w:rsidR="008D3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46"/>
    <w:rsid w:val="00005EF4"/>
    <w:rsid w:val="000068EA"/>
    <w:rsid w:val="00012932"/>
    <w:rsid w:val="00012E5F"/>
    <w:rsid w:val="00015C4B"/>
    <w:rsid w:val="00016220"/>
    <w:rsid w:val="00017842"/>
    <w:rsid w:val="00017E9C"/>
    <w:rsid w:val="00022A51"/>
    <w:rsid w:val="000265A2"/>
    <w:rsid w:val="000273D4"/>
    <w:rsid w:val="000274CB"/>
    <w:rsid w:val="00030E82"/>
    <w:rsid w:val="00031D71"/>
    <w:rsid w:val="00032428"/>
    <w:rsid w:val="00036397"/>
    <w:rsid w:val="0003690B"/>
    <w:rsid w:val="000375DD"/>
    <w:rsid w:val="00040A3C"/>
    <w:rsid w:val="00045543"/>
    <w:rsid w:val="00045B16"/>
    <w:rsid w:val="000510D7"/>
    <w:rsid w:val="00051BA1"/>
    <w:rsid w:val="00052E77"/>
    <w:rsid w:val="00055F4A"/>
    <w:rsid w:val="00056853"/>
    <w:rsid w:val="00057F9F"/>
    <w:rsid w:val="00060699"/>
    <w:rsid w:val="00060818"/>
    <w:rsid w:val="00065F12"/>
    <w:rsid w:val="00066A86"/>
    <w:rsid w:val="00066C5A"/>
    <w:rsid w:val="000722BF"/>
    <w:rsid w:val="000727C4"/>
    <w:rsid w:val="000729F3"/>
    <w:rsid w:val="0007309D"/>
    <w:rsid w:val="000773F2"/>
    <w:rsid w:val="0009618A"/>
    <w:rsid w:val="000968F7"/>
    <w:rsid w:val="000A0036"/>
    <w:rsid w:val="000A6942"/>
    <w:rsid w:val="000B2331"/>
    <w:rsid w:val="000B2C33"/>
    <w:rsid w:val="000B2F99"/>
    <w:rsid w:val="000B4458"/>
    <w:rsid w:val="000B4629"/>
    <w:rsid w:val="000B4842"/>
    <w:rsid w:val="000B4F89"/>
    <w:rsid w:val="000B584D"/>
    <w:rsid w:val="000B60FC"/>
    <w:rsid w:val="000B6CE9"/>
    <w:rsid w:val="000B754E"/>
    <w:rsid w:val="000C094F"/>
    <w:rsid w:val="000C3FD4"/>
    <w:rsid w:val="000D66F6"/>
    <w:rsid w:val="000D672F"/>
    <w:rsid w:val="000D70FA"/>
    <w:rsid w:val="000E1D97"/>
    <w:rsid w:val="000E69F7"/>
    <w:rsid w:val="000F4DFD"/>
    <w:rsid w:val="000F4E9A"/>
    <w:rsid w:val="000F59D3"/>
    <w:rsid w:val="000F6C98"/>
    <w:rsid w:val="00101265"/>
    <w:rsid w:val="0010148B"/>
    <w:rsid w:val="00102497"/>
    <w:rsid w:val="001041FB"/>
    <w:rsid w:val="001056BF"/>
    <w:rsid w:val="00105FAA"/>
    <w:rsid w:val="00113A81"/>
    <w:rsid w:val="00121240"/>
    <w:rsid w:val="001241C9"/>
    <w:rsid w:val="00126A17"/>
    <w:rsid w:val="00130291"/>
    <w:rsid w:val="001310DA"/>
    <w:rsid w:val="001318F0"/>
    <w:rsid w:val="001334C5"/>
    <w:rsid w:val="00136444"/>
    <w:rsid w:val="001412EF"/>
    <w:rsid w:val="00141F0B"/>
    <w:rsid w:val="00142C01"/>
    <w:rsid w:val="001470D3"/>
    <w:rsid w:val="001526C4"/>
    <w:rsid w:val="00153DAA"/>
    <w:rsid w:val="001603F5"/>
    <w:rsid w:val="00161E04"/>
    <w:rsid w:val="001636B1"/>
    <w:rsid w:val="00163DB1"/>
    <w:rsid w:val="00164090"/>
    <w:rsid w:val="00166370"/>
    <w:rsid w:val="0016654F"/>
    <w:rsid w:val="00167724"/>
    <w:rsid w:val="00170743"/>
    <w:rsid w:val="0017074C"/>
    <w:rsid w:val="00170813"/>
    <w:rsid w:val="00170A15"/>
    <w:rsid w:val="00174780"/>
    <w:rsid w:val="00176850"/>
    <w:rsid w:val="001802BF"/>
    <w:rsid w:val="00183253"/>
    <w:rsid w:val="00192081"/>
    <w:rsid w:val="00192737"/>
    <w:rsid w:val="00192E6E"/>
    <w:rsid w:val="0019369B"/>
    <w:rsid w:val="00193A1B"/>
    <w:rsid w:val="00195085"/>
    <w:rsid w:val="00196635"/>
    <w:rsid w:val="00197D0E"/>
    <w:rsid w:val="001A0C0B"/>
    <w:rsid w:val="001A13DC"/>
    <w:rsid w:val="001A4EEB"/>
    <w:rsid w:val="001A7231"/>
    <w:rsid w:val="001B07F7"/>
    <w:rsid w:val="001B14BB"/>
    <w:rsid w:val="001B22FC"/>
    <w:rsid w:val="001B4456"/>
    <w:rsid w:val="001C072C"/>
    <w:rsid w:val="001C0D8F"/>
    <w:rsid w:val="001C351E"/>
    <w:rsid w:val="001C36FE"/>
    <w:rsid w:val="001C3AB6"/>
    <w:rsid w:val="001C5889"/>
    <w:rsid w:val="001C5D87"/>
    <w:rsid w:val="001D0964"/>
    <w:rsid w:val="001D0F62"/>
    <w:rsid w:val="001D2E09"/>
    <w:rsid w:val="001D30AA"/>
    <w:rsid w:val="001D763A"/>
    <w:rsid w:val="001D7917"/>
    <w:rsid w:val="001E47B8"/>
    <w:rsid w:val="001E57FD"/>
    <w:rsid w:val="001E67AF"/>
    <w:rsid w:val="001E7223"/>
    <w:rsid w:val="001E737E"/>
    <w:rsid w:val="001F1C5D"/>
    <w:rsid w:val="001F6C07"/>
    <w:rsid w:val="0020045A"/>
    <w:rsid w:val="00201B00"/>
    <w:rsid w:val="00202723"/>
    <w:rsid w:val="002028AF"/>
    <w:rsid w:val="0020406D"/>
    <w:rsid w:val="00204B5D"/>
    <w:rsid w:val="002113D7"/>
    <w:rsid w:val="00212A0D"/>
    <w:rsid w:val="00213003"/>
    <w:rsid w:val="00215D94"/>
    <w:rsid w:val="00217592"/>
    <w:rsid w:val="00221883"/>
    <w:rsid w:val="00221C28"/>
    <w:rsid w:val="0023013E"/>
    <w:rsid w:val="00230354"/>
    <w:rsid w:val="00234EC3"/>
    <w:rsid w:val="00240C2A"/>
    <w:rsid w:val="00241040"/>
    <w:rsid w:val="0024183F"/>
    <w:rsid w:val="002432D5"/>
    <w:rsid w:val="00243D58"/>
    <w:rsid w:val="00245F1B"/>
    <w:rsid w:val="00246B58"/>
    <w:rsid w:val="00246CF7"/>
    <w:rsid w:val="00247B05"/>
    <w:rsid w:val="002515A7"/>
    <w:rsid w:val="00255FAA"/>
    <w:rsid w:val="0025764D"/>
    <w:rsid w:val="00260C1C"/>
    <w:rsid w:val="00262A7F"/>
    <w:rsid w:val="00265EE7"/>
    <w:rsid w:val="002704CA"/>
    <w:rsid w:val="002719D8"/>
    <w:rsid w:val="00274F68"/>
    <w:rsid w:val="00275AEF"/>
    <w:rsid w:val="00275EF0"/>
    <w:rsid w:val="00280925"/>
    <w:rsid w:val="00282D9E"/>
    <w:rsid w:val="00284219"/>
    <w:rsid w:val="002842AD"/>
    <w:rsid w:val="00286076"/>
    <w:rsid w:val="00296F57"/>
    <w:rsid w:val="002A207A"/>
    <w:rsid w:val="002A2AC3"/>
    <w:rsid w:val="002A71BF"/>
    <w:rsid w:val="002B1B17"/>
    <w:rsid w:val="002B382E"/>
    <w:rsid w:val="002B3FAF"/>
    <w:rsid w:val="002B4025"/>
    <w:rsid w:val="002B417D"/>
    <w:rsid w:val="002B6D6E"/>
    <w:rsid w:val="002B789C"/>
    <w:rsid w:val="002C4365"/>
    <w:rsid w:val="002C47DB"/>
    <w:rsid w:val="002C777F"/>
    <w:rsid w:val="002D048D"/>
    <w:rsid w:val="002D46CF"/>
    <w:rsid w:val="002D6175"/>
    <w:rsid w:val="002E2E29"/>
    <w:rsid w:val="002E4D9B"/>
    <w:rsid w:val="002E6B48"/>
    <w:rsid w:val="002F046F"/>
    <w:rsid w:val="002F1919"/>
    <w:rsid w:val="002F1FA8"/>
    <w:rsid w:val="002F2340"/>
    <w:rsid w:val="002F275E"/>
    <w:rsid w:val="002F4EFF"/>
    <w:rsid w:val="002F6610"/>
    <w:rsid w:val="00300257"/>
    <w:rsid w:val="0030418F"/>
    <w:rsid w:val="0030586B"/>
    <w:rsid w:val="00305EBF"/>
    <w:rsid w:val="00311D19"/>
    <w:rsid w:val="00313083"/>
    <w:rsid w:val="003133C7"/>
    <w:rsid w:val="0031383D"/>
    <w:rsid w:val="003138E7"/>
    <w:rsid w:val="00313C71"/>
    <w:rsid w:val="00314B4C"/>
    <w:rsid w:val="003165BC"/>
    <w:rsid w:val="00322C4C"/>
    <w:rsid w:val="00324521"/>
    <w:rsid w:val="0032582D"/>
    <w:rsid w:val="00326DF1"/>
    <w:rsid w:val="003332FC"/>
    <w:rsid w:val="00333575"/>
    <w:rsid w:val="00334DD1"/>
    <w:rsid w:val="00335736"/>
    <w:rsid w:val="00344C91"/>
    <w:rsid w:val="0034650D"/>
    <w:rsid w:val="00353EE5"/>
    <w:rsid w:val="003546D0"/>
    <w:rsid w:val="003569CC"/>
    <w:rsid w:val="00357015"/>
    <w:rsid w:val="003638E7"/>
    <w:rsid w:val="00367C8C"/>
    <w:rsid w:val="00373B04"/>
    <w:rsid w:val="00373B94"/>
    <w:rsid w:val="00375F0A"/>
    <w:rsid w:val="00377DC5"/>
    <w:rsid w:val="003821DD"/>
    <w:rsid w:val="00385252"/>
    <w:rsid w:val="0038553C"/>
    <w:rsid w:val="00386816"/>
    <w:rsid w:val="0038743D"/>
    <w:rsid w:val="00387CD8"/>
    <w:rsid w:val="00393DBD"/>
    <w:rsid w:val="003A06EF"/>
    <w:rsid w:val="003A0D43"/>
    <w:rsid w:val="003A16BF"/>
    <w:rsid w:val="003A2CA1"/>
    <w:rsid w:val="003A2F60"/>
    <w:rsid w:val="003A3757"/>
    <w:rsid w:val="003B1E89"/>
    <w:rsid w:val="003B2020"/>
    <w:rsid w:val="003B722E"/>
    <w:rsid w:val="003C05DA"/>
    <w:rsid w:val="003C316F"/>
    <w:rsid w:val="003C31D9"/>
    <w:rsid w:val="003C73F8"/>
    <w:rsid w:val="003D0093"/>
    <w:rsid w:val="003D2E54"/>
    <w:rsid w:val="003D7FBD"/>
    <w:rsid w:val="003E473B"/>
    <w:rsid w:val="003E6855"/>
    <w:rsid w:val="003F29F8"/>
    <w:rsid w:val="00400B7E"/>
    <w:rsid w:val="00403C01"/>
    <w:rsid w:val="00403F1B"/>
    <w:rsid w:val="0041593E"/>
    <w:rsid w:val="00416949"/>
    <w:rsid w:val="00420464"/>
    <w:rsid w:val="0042053F"/>
    <w:rsid w:val="00420C8A"/>
    <w:rsid w:val="00420D0E"/>
    <w:rsid w:val="00422AA5"/>
    <w:rsid w:val="00423D51"/>
    <w:rsid w:val="00424930"/>
    <w:rsid w:val="0042793C"/>
    <w:rsid w:val="00430761"/>
    <w:rsid w:val="00432FDE"/>
    <w:rsid w:val="00434B46"/>
    <w:rsid w:val="00437883"/>
    <w:rsid w:val="0044393A"/>
    <w:rsid w:val="00446190"/>
    <w:rsid w:val="00446D56"/>
    <w:rsid w:val="0044782D"/>
    <w:rsid w:val="004507CB"/>
    <w:rsid w:val="00450C12"/>
    <w:rsid w:val="00451EB7"/>
    <w:rsid w:val="00452BD3"/>
    <w:rsid w:val="0045565B"/>
    <w:rsid w:val="00456A14"/>
    <w:rsid w:val="00462871"/>
    <w:rsid w:val="004634D2"/>
    <w:rsid w:val="00463BFC"/>
    <w:rsid w:val="00464952"/>
    <w:rsid w:val="00464C86"/>
    <w:rsid w:val="004665CB"/>
    <w:rsid w:val="00472478"/>
    <w:rsid w:val="00476DEC"/>
    <w:rsid w:val="00477648"/>
    <w:rsid w:val="004778A3"/>
    <w:rsid w:val="004802D2"/>
    <w:rsid w:val="00484713"/>
    <w:rsid w:val="004873C2"/>
    <w:rsid w:val="00491B56"/>
    <w:rsid w:val="004948BC"/>
    <w:rsid w:val="00496706"/>
    <w:rsid w:val="004967FD"/>
    <w:rsid w:val="00497305"/>
    <w:rsid w:val="004A075C"/>
    <w:rsid w:val="004A0F14"/>
    <w:rsid w:val="004A1CB4"/>
    <w:rsid w:val="004A1FE1"/>
    <w:rsid w:val="004A38C5"/>
    <w:rsid w:val="004A4546"/>
    <w:rsid w:val="004A4FF9"/>
    <w:rsid w:val="004B1240"/>
    <w:rsid w:val="004B14F2"/>
    <w:rsid w:val="004C14B2"/>
    <w:rsid w:val="004C47C5"/>
    <w:rsid w:val="004C68C6"/>
    <w:rsid w:val="004C789B"/>
    <w:rsid w:val="004D23EF"/>
    <w:rsid w:val="004D28AB"/>
    <w:rsid w:val="004D2DC8"/>
    <w:rsid w:val="004D39E1"/>
    <w:rsid w:val="004D428D"/>
    <w:rsid w:val="004D61D6"/>
    <w:rsid w:val="004D63F4"/>
    <w:rsid w:val="004E412F"/>
    <w:rsid w:val="004E4C9A"/>
    <w:rsid w:val="004F0F33"/>
    <w:rsid w:val="004F11CC"/>
    <w:rsid w:val="004F35B0"/>
    <w:rsid w:val="004F690B"/>
    <w:rsid w:val="004F6CA3"/>
    <w:rsid w:val="004F72D8"/>
    <w:rsid w:val="004F75A2"/>
    <w:rsid w:val="005001E7"/>
    <w:rsid w:val="0050210E"/>
    <w:rsid w:val="005032DD"/>
    <w:rsid w:val="0050571D"/>
    <w:rsid w:val="005203BB"/>
    <w:rsid w:val="005216E7"/>
    <w:rsid w:val="00521B86"/>
    <w:rsid w:val="0052247D"/>
    <w:rsid w:val="005247EA"/>
    <w:rsid w:val="00534E79"/>
    <w:rsid w:val="00537983"/>
    <w:rsid w:val="005405D3"/>
    <w:rsid w:val="00540BFD"/>
    <w:rsid w:val="00540C63"/>
    <w:rsid w:val="00541F0A"/>
    <w:rsid w:val="005424F9"/>
    <w:rsid w:val="00543CA2"/>
    <w:rsid w:val="0054434C"/>
    <w:rsid w:val="00544A28"/>
    <w:rsid w:val="005475B9"/>
    <w:rsid w:val="00547DAC"/>
    <w:rsid w:val="005515F8"/>
    <w:rsid w:val="00551757"/>
    <w:rsid w:val="0055180D"/>
    <w:rsid w:val="00553B5D"/>
    <w:rsid w:val="0055545F"/>
    <w:rsid w:val="00555CB7"/>
    <w:rsid w:val="00557FBC"/>
    <w:rsid w:val="0056232B"/>
    <w:rsid w:val="00562452"/>
    <w:rsid w:val="005646E8"/>
    <w:rsid w:val="0056546F"/>
    <w:rsid w:val="005655FD"/>
    <w:rsid w:val="0057338E"/>
    <w:rsid w:val="00573E74"/>
    <w:rsid w:val="00576741"/>
    <w:rsid w:val="00577BA2"/>
    <w:rsid w:val="00582C2A"/>
    <w:rsid w:val="00587764"/>
    <w:rsid w:val="00587E5F"/>
    <w:rsid w:val="00587E81"/>
    <w:rsid w:val="00590DB4"/>
    <w:rsid w:val="00593F9E"/>
    <w:rsid w:val="005A04E1"/>
    <w:rsid w:val="005A75F6"/>
    <w:rsid w:val="005B0F88"/>
    <w:rsid w:val="005B14B0"/>
    <w:rsid w:val="005B1746"/>
    <w:rsid w:val="005B2711"/>
    <w:rsid w:val="005B71D6"/>
    <w:rsid w:val="005C1C54"/>
    <w:rsid w:val="005C2FFD"/>
    <w:rsid w:val="005C6988"/>
    <w:rsid w:val="005C7521"/>
    <w:rsid w:val="005D045B"/>
    <w:rsid w:val="005D11FF"/>
    <w:rsid w:val="005D5884"/>
    <w:rsid w:val="005E3E96"/>
    <w:rsid w:val="005F17D5"/>
    <w:rsid w:val="005F2E29"/>
    <w:rsid w:val="005F52C3"/>
    <w:rsid w:val="00601C47"/>
    <w:rsid w:val="00604BEA"/>
    <w:rsid w:val="00607E55"/>
    <w:rsid w:val="00613ACC"/>
    <w:rsid w:val="00615FAB"/>
    <w:rsid w:val="0061718D"/>
    <w:rsid w:val="006178A9"/>
    <w:rsid w:val="006241AC"/>
    <w:rsid w:val="006250E0"/>
    <w:rsid w:val="006261B5"/>
    <w:rsid w:val="00632DA1"/>
    <w:rsid w:val="00642176"/>
    <w:rsid w:val="00642E70"/>
    <w:rsid w:val="0065093E"/>
    <w:rsid w:val="00656B80"/>
    <w:rsid w:val="006619C8"/>
    <w:rsid w:val="00665DD0"/>
    <w:rsid w:val="00670471"/>
    <w:rsid w:val="00670795"/>
    <w:rsid w:val="0067362E"/>
    <w:rsid w:val="0067445C"/>
    <w:rsid w:val="00675C0F"/>
    <w:rsid w:val="00676C26"/>
    <w:rsid w:val="0067712B"/>
    <w:rsid w:val="00677C26"/>
    <w:rsid w:val="0068339B"/>
    <w:rsid w:val="006835A0"/>
    <w:rsid w:val="006A1894"/>
    <w:rsid w:val="006A5D9D"/>
    <w:rsid w:val="006A77EA"/>
    <w:rsid w:val="006B18AC"/>
    <w:rsid w:val="006B5583"/>
    <w:rsid w:val="006C35AD"/>
    <w:rsid w:val="006C4589"/>
    <w:rsid w:val="006C5850"/>
    <w:rsid w:val="006C5B6F"/>
    <w:rsid w:val="006C62FD"/>
    <w:rsid w:val="006D0DEE"/>
    <w:rsid w:val="006D3740"/>
    <w:rsid w:val="006D60A4"/>
    <w:rsid w:val="006D6399"/>
    <w:rsid w:val="006E37EA"/>
    <w:rsid w:val="006E49B5"/>
    <w:rsid w:val="006E5134"/>
    <w:rsid w:val="006E55C5"/>
    <w:rsid w:val="006F1552"/>
    <w:rsid w:val="006F3BA5"/>
    <w:rsid w:val="006F739E"/>
    <w:rsid w:val="00702339"/>
    <w:rsid w:val="0070568A"/>
    <w:rsid w:val="007066A5"/>
    <w:rsid w:val="00706F96"/>
    <w:rsid w:val="00711567"/>
    <w:rsid w:val="00713A54"/>
    <w:rsid w:val="00713B1C"/>
    <w:rsid w:val="007141A1"/>
    <w:rsid w:val="0071627F"/>
    <w:rsid w:val="00724757"/>
    <w:rsid w:val="00733AF1"/>
    <w:rsid w:val="007373D6"/>
    <w:rsid w:val="00741C7E"/>
    <w:rsid w:val="00743B08"/>
    <w:rsid w:val="00745F9C"/>
    <w:rsid w:val="00746506"/>
    <w:rsid w:val="00751319"/>
    <w:rsid w:val="00754EB0"/>
    <w:rsid w:val="007571C4"/>
    <w:rsid w:val="00760164"/>
    <w:rsid w:val="00774F92"/>
    <w:rsid w:val="00776983"/>
    <w:rsid w:val="00776F27"/>
    <w:rsid w:val="00780D2F"/>
    <w:rsid w:val="00781300"/>
    <w:rsid w:val="007822C3"/>
    <w:rsid w:val="00783A5E"/>
    <w:rsid w:val="007862A8"/>
    <w:rsid w:val="00787A80"/>
    <w:rsid w:val="00787AB8"/>
    <w:rsid w:val="00790F93"/>
    <w:rsid w:val="00796442"/>
    <w:rsid w:val="00797543"/>
    <w:rsid w:val="00797A38"/>
    <w:rsid w:val="00797A42"/>
    <w:rsid w:val="007A00BA"/>
    <w:rsid w:val="007A0C18"/>
    <w:rsid w:val="007A2968"/>
    <w:rsid w:val="007A4CCB"/>
    <w:rsid w:val="007A4E63"/>
    <w:rsid w:val="007A5B35"/>
    <w:rsid w:val="007A5D85"/>
    <w:rsid w:val="007A6E1B"/>
    <w:rsid w:val="007A7AE2"/>
    <w:rsid w:val="007B234A"/>
    <w:rsid w:val="007B3392"/>
    <w:rsid w:val="007C0082"/>
    <w:rsid w:val="007C2C7A"/>
    <w:rsid w:val="007C37DB"/>
    <w:rsid w:val="007C4E62"/>
    <w:rsid w:val="007C597C"/>
    <w:rsid w:val="007C5AFD"/>
    <w:rsid w:val="007D2FD0"/>
    <w:rsid w:val="007D4A00"/>
    <w:rsid w:val="007D6E84"/>
    <w:rsid w:val="007E38AC"/>
    <w:rsid w:val="007E52F1"/>
    <w:rsid w:val="007E6F2C"/>
    <w:rsid w:val="007F64BD"/>
    <w:rsid w:val="007F66D5"/>
    <w:rsid w:val="007F6E1E"/>
    <w:rsid w:val="0080196F"/>
    <w:rsid w:val="00803307"/>
    <w:rsid w:val="008043CC"/>
    <w:rsid w:val="00804D46"/>
    <w:rsid w:val="00813A83"/>
    <w:rsid w:val="00816353"/>
    <w:rsid w:val="00825315"/>
    <w:rsid w:val="00825D66"/>
    <w:rsid w:val="00826775"/>
    <w:rsid w:val="00833214"/>
    <w:rsid w:val="00833246"/>
    <w:rsid w:val="0083479C"/>
    <w:rsid w:val="00834FEB"/>
    <w:rsid w:val="00835860"/>
    <w:rsid w:val="00835D5C"/>
    <w:rsid w:val="008402ED"/>
    <w:rsid w:val="00840DF9"/>
    <w:rsid w:val="0084760A"/>
    <w:rsid w:val="00852191"/>
    <w:rsid w:val="00852C28"/>
    <w:rsid w:val="00862259"/>
    <w:rsid w:val="00864829"/>
    <w:rsid w:val="00867696"/>
    <w:rsid w:val="00870A34"/>
    <w:rsid w:val="00871FED"/>
    <w:rsid w:val="00874C46"/>
    <w:rsid w:val="0087720C"/>
    <w:rsid w:val="00880BD2"/>
    <w:rsid w:val="008810D7"/>
    <w:rsid w:val="00881F03"/>
    <w:rsid w:val="00882962"/>
    <w:rsid w:val="008848FF"/>
    <w:rsid w:val="008856DD"/>
    <w:rsid w:val="00886577"/>
    <w:rsid w:val="008876A1"/>
    <w:rsid w:val="00890052"/>
    <w:rsid w:val="00894047"/>
    <w:rsid w:val="00894C0F"/>
    <w:rsid w:val="008A533E"/>
    <w:rsid w:val="008A6477"/>
    <w:rsid w:val="008B024C"/>
    <w:rsid w:val="008B2379"/>
    <w:rsid w:val="008B4A40"/>
    <w:rsid w:val="008B4CFA"/>
    <w:rsid w:val="008B4E6B"/>
    <w:rsid w:val="008B5106"/>
    <w:rsid w:val="008B638C"/>
    <w:rsid w:val="008B73E2"/>
    <w:rsid w:val="008C194E"/>
    <w:rsid w:val="008C234B"/>
    <w:rsid w:val="008C4DCE"/>
    <w:rsid w:val="008C5879"/>
    <w:rsid w:val="008C6AC7"/>
    <w:rsid w:val="008C7406"/>
    <w:rsid w:val="008D0F29"/>
    <w:rsid w:val="008D31E8"/>
    <w:rsid w:val="008E50A2"/>
    <w:rsid w:val="008E5D3E"/>
    <w:rsid w:val="008E67B7"/>
    <w:rsid w:val="008E6920"/>
    <w:rsid w:val="008E7F1E"/>
    <w:rsid w:val="008F05E7"/>
    <w:rsid w:val="008F0B4C"/>
    <w:rsid w:val="008F181C"/>
    <w:rsid w:val="008F551B"/>
    <w:rsid w:val="008F5D73"/>
    <w:rsid w:val="00900DD9"/>
    <w:rsid w:val="0090158B"/>
    <w:rsid w:val="009018AE"/>
    <w:rsid w:val="00903AC4"/>
    <w:rsid w:val="00904533"/>
    <w:rsid w:val="00912F98"/>
    <w:rsid w:val="009235E8"/>
    <w:rsid w:val="00924B0B"/>
    <w:rsid w:val="00924BA2"/>
    <w:rsid w:val="009251B7"/>
    <w:rsid w:val="00930B1C"/>
    <w:rsid w:val="0093213B"/>
    <w:rsid w:val="00934B82"/>
    <w:rsid w:val="0093661A"/>
    <w:rsid w:val="00941176"/>
    <w:rsid w:val="00941C28"/>
    <w:rsid w:val="0094353E"/>
    <w:rsid w:val="0094654F"/>
    <w:rsid w:val="009475DC"/>
    <w:rsid w:val="0095230D"/>
    <w:rsid w:val="00954DD7"/>
    <w:rsid w:val="00957E95"/>
    <w:rsid w:val="0096673A"/>
    <w:rsid w:val="009703A4"/>
    <w:rsid w:val="00974C2F"/>
    <w:rsid w:val="009771DB"/>
    <w:rsid w:val="009813BE"/>
    <w:rsid w:val="00981777"/>
    <w:rsid w:val="0098400F"/>
    <w:rsid w:val="00984324"/>
    <w:rsid w:val="0099026A"/>
    <w:rsid w:val="00990D2E"/>
    <w:rsid w:val="00995615"/>
    <w:rsid w:val="009958A6"/>
    <w:rsid w:val="00997ADD"/>
    <w:rsid w:val="009A38AB"/>
    <w:rsid w:val="009A6430"/>
    <w:rsid w:val="009B0754"/>
    <w:rsid w:val="009B0C14"/>
    <w:rsid w:val="009B3774"/>
    <w:rsid w:val="009C0396"/>
    <w:rsid w:val="009C1DBC"/>
    <w:rsid w:val="009C2B26"/>
    <w:rsid w:val="009C4DE7"/>
    <w:rsid w:val="009C7C69"/>
    <w:rsid w:val="009D02B8"/>
    <w:rsid w:val="009D16DA"/>
    <w:rsid w:val="009D4D32"/>
    <w:rsid w:val="009E11DB"/>
    <w:rsid w:val="009E18E9"/>
    <w:rsid w:val="009E1D18"/>
    <w:rsid w:val="009E33DF"/>
    <w:rsid w:val="009E38EE"/>
    <w:rsid w:val="009E5B16"/>
    <w:rsid w:val="009E6A5B"/>
    <w:rsid w:val="009F57D0"/>
    <w:rsid w:val="00A0004D"/>
    <w:rsid w:val="00A00FDB"/>
    <w:rsid w:val="00A02C66"/>
    <w:rsid w:val="00A02C95"/>
    <w:rsid w:val="00A03173"/>
    <w:rsid w:val="00A031D3"/>
    <w:rsid w:val="00A035B8"/>
    <w:rsid w:val="00A051CE"/>
    <w:rsid w:val="00A0532E"/>
    <w:rsid w:val="00A05FC6"/>
    <w:rsid w:val="00A13589"/>
    <w:rsid w:val="00A160B1"/>
    <w:rsid w:val="00A20843"/>
    <w:rsid w:val="00A22251"/>
    <w:rsid w:val="00A2438D"/>
    <w:rsid w:val="00A24E56"/>
    <w:rsid w:val="00A25E03"/>
    <w:rsid w:val="00A265F6"/>
    <w:rsid w:val="00A27321"/>
    <w:rsid w:val="00A33255"/>
    <w:rsid w:val="00A33F78"/>
    <w:rsid w:val="00A401E8"/>
    <w:rsid w:val="00A43C1B"/>
    <w:rsid w:val="00A5071D"/>
    <w:rsid w:val="00A53A72"/>
    <w:rsid w:val="00A6595B"/>
    <w:rsid w:val="00A6666A"/>
    <w:rsid w:val="00A7112F"/>
    <w:rsid w:val="00A71777"/>
    <w:rsid w:val="00A72270"/>
    <w:rsid w:val="00A76671"/>
    <w:rsid w:val="00A825A1"/>
    <w:rsid w:val="00A82919"/>
    <w:rsid w:val="00A85A0F"/>
    <w:rsid w:val="00A85E7A"/>
    <w:rsid w:val="00A86437"/>
    <w:rsid w:val="00A901ED"/>
    <w:rsid w:val="00A9039F"/>
    <w:rsid w:val="00A905FB"/>
    <w:rsid w:val="00A91135"/>
    <w:rsid w:val="00A915C6"/>
    <w:rsid w:val="00A93ED9"/>
    <w:rsid w:val="00AA0849"/>
    <w:rsid w:val="00AA4799"/>
    <w:rsid w:val="00AA4F6F"/>
    <w:rsid w:val="00AA6D3C"/>
    <w:rsid w:val="00AB01F8"/>
    <w:rsid w:val="00AB2914"/>
    <w:rsid w:val="00AB4B90"/>
    <w:rsid w:val="00AB55E4"/>
    <w:rsid w:val="00AB641C"/>
    <w:rsid w:val="00AC3129"/>
    <w:rsid w:val="00AC3637"/>
    <w:rsid w:val="00AC5A28"/>
    <w:rsid w:val="00AD2814"/>
    <w:rsid w:val="00AE04A3"/>
    <w:rsid w:val="00AE3D6D"/>
    <w:rsid w:val="00AE619F"/>
    <w:rsid w:val="00AF2959"/>
    <w:rsid w:val="00AF31BB"/>
    <w:rsid w:val="00AF3503"/>
    <w:rsid w:val="00B06239"/>
    <w:rsid w:val="00B077FB"/>
    <w:rsid w:val="00B21C45"/>
    <w:rsid w:val="00B21CB3"/>
    <w:rsid w:val="00B235DA"/>
    <w:rsid w:val="00B26E46"/>
    <w:rsid w:val="00B42039"/>
    <w:rsid w:val="00B429BE"/>
    <w:rsid w:val="00B42DEF"/>
    <w:rsid w:val="00B42E40"/>
    <w:rsid w:val="00B43369"/>
    <w:rsid w:val="00B520AF"/>
    <w:rsid w:val="00B53249"/>
    <w:rsid w:val="00B55C97"/>
    <w:rsid w:val="00B56137"/>
    <w:rsid w:val="00B56879"/>
    <w:rsid w:val="00B576A1"/>
    <w:rsid w:val="00B577F0"/>
    <w:rsid w:val="00B64CCA"/>
    <w:rsid w:val="00B65F11"/>
    <w:rsid w:val="00B70DCC"/>
    <w:rsid w:val="00B76446"/>
    <w:rsid w:val="00B76BC4"/>
    <w:rsid w:val="00B81D3E"/>
    <w:rsid w:val="00B8208A"/>
    <w:rsid w:val="00B8711E"/>
    <w:rsid w:val="00B90142"/>
    <w:rsid w:val="00B93B76"/>
    <w:rsid w:val="00B96992"/>
    <w:rsid w:val="00B971C5"/>
    <w:rsid w:val="00BA28A7"/>
    <w:rsid w:val="00BB3DA2"/>
    <w:rsid w:val="00BC37A5"/>
    <w:rsid w:val="00BD1977"/>
    <w:rsid w:val="00BD5D04"/>
    <w:rsid w:val="00BD7022"/>
    <w:rsid w:val="00BE190D"/>
    <w:rsid w:val="00BE3BDC"/>
    <w:rsid w:val="00BF0765"/>
    <w:rsid w:val="00BF0EC2"/>
    <w:rsid w:val="00BF24AD"/>
    <w:rsid w:val="00BF2ABB"/>
    <w:rsid w:val="00BF36BF"/>
    <w:rsid w:val="00BF4D8C"/>
    <w:rsid w:val="00BF4F9D"/>
    <w:rsid w:val="00BF742E"/>
    <w:rsid w:val="00C03557"/>
    <w:rsid w:val="00C03969"/>
    <w:rsid w:val="00C03B9F"/>
    <w:rsid w:val="00C04914"/>
    <w:rsid w:val="00C14BCF"/>
    <w:rsid w:val="00C21AA6"/>
    <w:rsid w:val="00C2468E"/>
    <w:rsid w:val="00C26CA9"/>
    <w:rsid w:val="00C3055F"/>
    <w:rsid w:val="00C316D2"/>
    <w:rsid w:val="00C33B06"/>
    <w:rsid w:val="00C37F5B"/>
    <w:rsid w:val="00C429F3"/>
    <w:rsid w:val="00C4789E"/>
    <w:rsid w:val="00C478AB"/>
    <w:rsid w:val="00C51093"/>
    <w:rsid w:val="00C54325"/>
    <w:rsid w:val="00C56433"/>
    <w:rsid w:val="00C60667"/>
    <w:rsid w:val="00C60EF5"/>
    <w:rsid w:val="00C73213"/>
    <w:rsid w:val="00C7464A"/>
    <w:rsid w:val="00C770FC"/>
    <w:rsid w:val="00C817DE"/>
    <w:rsid w:val="00C858B3"/>
    <w:rsid w:val="00C86057"/>
    <w:rsid w:val="00C94D0D"/>
    <w:rsid w:val="00CA0AB4"/>
    <w:rsid w:val="00CA1A81"/>
    <w:rsid w:val="00CA4608"/>
    <w:rsid w:val="00CB02C9"/>
    <w:rsid w:val="00CB5675"/>
    <w:rsid w:val="00CB7A0B"/>
    <w:rsid w:val="00CC2CBB"/>
    <w:rsid w:val="00CD121B"/>
    <w:rsid w:val="00CD1916"/>
    <w:rsid w:val="00CD1B97"/>
    <w:rsid w:val="00CD38D2"/>
    <w:rsid w:val="00CD6DD1"/>
    <w:rsid w:val="00CE1CD2"/>
    <w:rsid w:val="00CE36A3"/>
    <w:rsid w:val="00CF146D"/>
    <w:rsid w:val="00CF148B"/>
    <w:rsid w:val="00CF5A97"/>
    <w:rsid w:val="00D00BA8"/>
    <w:rsid w:val="00D016D7"/>
    <w:rsid w:val="00D01A5A"/>
    <w:rsid w:val="00D021F7"/>
    <w:rsid w:val="00D0480D"/>
    <w:rsid w:val="00D05231"/>
    <w:rsid w:val="00D05830"/>
    <w:rsid w:val="00D0586E"/>
    <w:rsid w:val="00D05EA2"/>
    <w:rsid w:val="00D06E71"/>
    <w:rsid w:val="00D139B2"/>
    <w:rsid w:val="00D13AA1"/>
    <w:rsid w:val="00D20AAC"/>
    <w:rsid w:val="00D20EA0"/>
    <w:rsid w:val="00D21794"/>
    <w:rsid w:val="00D256E3"/>
    <w:rsid w:val="00D2591E"/>
    <w:rsid w:val="00D32CC9"/>
    <w:rsid w:val="00D35FBC"/>
    <w:rsid w:val="00D36B72"/>
    <w:rsid w:val="00D40A09"/>
    <w:rsid w:val="00D40C60"/>
    <w:rsid w:val="00D422D5"/>
    <w:rsid w:val="00D516A8"/>
    <w:rsid w:val="00D64DD5"/>
    <w:rsid w:val="00D67DA9"/>
    <w:rsid w:val="00D71266"/>
    <w:rsid w:val="00D75347"/>
    <w:rsid w:val="00D76E31"/>
    <w:rsid w:val="00D7790B"/>
    <w:rsid w:val="00D84977"/>
    <w:rsid w:val="00D85643"/>
    <w:rsid w:val="00D85B63"/>
    <w:rsid w:val="00D85D6E"/>
    <w:rsid w:val="00D86947"/>
    <w:rsid w:val="00D9132D"/>
    <w:rsid w:val="00DA2D82"/>
    <w:rsid w:val="00DA482F"/>
    <w:rsid w:val="00DA6A43"/>
    <w:rsid w:val="00DB00C4"/>
    <w:rsid w:val="00DC075C"/>
    <w:rsid w:val="00DC2AE0"/>
    <w:rsid w:val="00DD0448"/>
    <w:rsid w:val="00DD0900"/>
    <w:rsid w:val="00DD1DBA"/>
    <w:rsid w:val="00DD40A0"/>
    <w:rsid w:val="00DE0F20"/>
    <w:rsid w:val="00DE4AFB"/>
    <w:rsid w:val="00DE65C4"/>
    <w:rsid w:val="00DE6760"/>
    <w:rsid w:val="00DF1975"/>
    <w:rsid w:val="00DF24CB"/>
    <w:rsid w:val="00E043B5"/>
    <w:rsid w:val="00E07146"/>
    <w:rsid w:val="00E12D65"/>
    <w:rsid w:val="00E1369D"/>
    <w:rsid w:val="00E13C5C"/>
    <w:rsid w:val="00E14D1C"/>
    <w:rsid w:val="00E15ECD"/>
    <w:rsid w:val="00E1600C"/>
    <w:rsid w:val="00E17157"/>
    <w:rsid w:val="00E206DF"/>
    <w:rsid w:val="00E20ED0"/>
    <w:rsid w:val="00E21FFF"/>
    <w:rsid w:val="00E22C39"/>
    <w:rsid w:val="00E25118"/>
    <w:rsid w:val="00E253BA"/>
    <w:rsid w:val="00E2548E"/>
    <w:rsid w:val="00E25898"/>
    <w:rsid w:val="00E270DA"/>
    <w:rsid w:val="00E278F0"/>
    <w:rsid w:val="00E30F9A"/>
    <w:rsid w:val="00E32DC4"/>
    <w:rsid w:val="00E351F1"/>
    <w:rsid w:val="00E379C5"/>
    <w:rsid w:val="00E407F0"/>
    <w:rsid w:val="00E412A9"/>
    <w:rsid w:val="00E4277A"/>
    <w:rsid w:val="00E43CE0"/>
    <w:rsid w:val="00E45C1E"/>
    <w:rsid w:val="00E46458"/>
    <w:rsid w:val="00E501FA"/>
    <w:rsid w:val="00E526CE"/>
    <w:rsid w:val="00E52CDD"/>
    <w:rsid w:val="00E613D4"/>
    <w:rsid w:val="00E72C4C"/>
    <w:rsid w:val="00E74718"/>
    <w:rsid w:val="00E74F92"/>
    <w:rsid w:val="00E76A46"/>
    <w:rsid w:val="00E816F8"/>
    <w:rsid w:val="00E81879"/>
    <w:rsid w:val="00E9198F"/>
    <w:rsid w:val="00E92B87"/>
    <w:rsid w:val="00E9314F"/>
    <w:rsid w:val="00E93D84"/>
    <w:rsid w:val="00E941A5"/>
    <w:rsid w:val="00EA2F3D"/>
    <w:rsid w:val="00EA4293"/>
    <w:rsid w:val="00EA4D99"/>
    <w:rsid w:val="00EA55A8"/>
    <w:rsid w:val="00EB1C19"/>
    <w:rsid w:val="00EB2055"/>
    <w:rsid w:val="00EB2080"/>
    <w:rsid w:val="00EB2F3A"/>
    <w:rsid w:val="00EB48B0"/>
    <w:rsid w:val="00EC1D18"/>
    <w:rsid w:val="00EC2458"/>
    <w:rsid w:val="00EC2F52"/>
    <w:rsid w:val="00EC4625"/>
    <w:rsid w:val="00EC6C57"/>
    <w:rsid w:val="00EC7F8F"/>
    <w:rsid w:val="00ED0781"/>
    <w:rsid w:val="00ED0CEE"/>
    <w:rsid w:val="00ED5F86"/>
    <w:rsid w:val="00EE197A"/>
    <w:rsid w:val="00EE245B"/>
    <w:rsid w:val="00EE2B2D"/>
    <w:rsid w:val="00EE2F4C"/>
    <w:rsid w:val="00EE39E4"/>
    <w:rsid w:val="00EE60FE"/>
    <w:rsid w:val="00EE612A"/>
    <w:rsid w:val="00EF1FCC"/>
    <w:rsid w:val="00EF3421"/>
    <w:rsid w:val="00EF6C4B"/>
    <w:rsid w:val="00EF7322"/>
    <w:rsid w:val="00F011EF"/>
    <w:rsid w:val="00F0186A"/>
    <w:rsid w:val="00F04664"/>
    <w:rsid w:val="00F07281"/>
    <w:rsid w:val="00F12305"/>
    <w:rsid w:val="00F15611"/>
    <w:rsid w:val="00F21B6D"/>
    <w:rsid w:val="00F262C8"/>
    <w:rsid w:val="00F262D9"/>
    <w:rsid w:val="00F32A46"/>
    <w:rsid w:val="00F3379A"/>
    <w:rsid w:val="00F360B3"/>
    <w:rsid w:val="00F363F0"/>
    <w:rsid w:val="00F442DA"/>
    <w:rsid w:val="00F45CBB"/>
    <w:rsid w:val="00F51DB9"/>
    <w:rsid w:val="00F52F90"/>
    <w:rsid w:val="00F57650"/>
    <w:rsid w:val="00F60617"/>
    <w:rsid w:val="00F64FFA"/>
    <w:rsid w:val="00F65CEA"/>
    <w:rsid w:val="00F66A0C"/>
    <w:rsid w:val="00F673C4"/>
    <w:rsid w:val="00F67685"/>
    <w:rsid w:val="00F706BC"/>
    <w:rsid w:val="00F73C02"/>
    <w:rsid w:val="00F81AA6"/>
    <w:rsid w:val="00F843FB"/>
    <w:rsid w:val="00F92AE2"/>
    <w:rsid w:val="00F933E4"/>
    <w:rsid w:val="00F96225"/>
    <w:rsid w:val="00F96AE8"/>
    <w:rsid w:val="00FA038D"/>
    <w:rsid w:val="00FA3352"/>
    <w:rsid w:val="00FA3F49"/>
    <w:rsid w:val="00FA48CE"/>
    <w:rsid w:val="00FA521F"/>
    <w:rsid w:val="00FA6DDB"/>
    <w:rsid w:val="00FB004B"/>
    <w:rsid w:val="00FB15DD"/>
    <w:rsid w:val="00FB2E8B"/>
    <w:rsid w:val="00FB5D7D"/>
    <w:rsid w:val="00FB6E05"/>
    <w:rsid w:val="00FB6E0C"/>
    <w:rsid w:val="00FC1901"/>
    <w:rsid w:val="00FD0448"/>
    <w:rsid w:val="00FD6452"/>
    <w:rsid w:val="00FD681A"/>
    <w:rsid w:val="00FF0D0F"/>
    <w:rsid w:val="00FF10DF"/>
    <w:rsid w:val="00FF27DA"/>
    <w:rsid w:val="00FF2BA9"/>
    <w:rsid w:val="00FF5626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DCB66-1A4A-4E38-97FB-1F0668A9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Chee Chin soon</dc:creator>
  <cp:keywords/>
  <dc:description/>
  <cp:lastModifiedBy>Jason Chee Chin soon</cp:lastModifiedBy>
  <cp:revision>1</cp:revision>
  <dcterms:created xsi:type="dcterms:W3CDTF">2015-12-08T06:34:00Z</dcterms:created>
  <dcterms:modified xsi:type="dcterms:W3CDTF">2015-12-08T06:35:00Z</dcterms:modified>
</cp:coreProperties>
</file>