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E4" w:rsidRP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Raw data of figure 1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: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the raw data of inhibitory curve of compound 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>07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and 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>23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on AChE. The file can be opened by Graphpad 4.0.</w:t>
      </w:r>
    </w:p>
    <w:p w:rsidR="008C45E6" w:rsidRP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</w:p>
    <w:p w:rsid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Raw data of figure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2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>: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the raw data of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Lineweaver-Burk plots of compound 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>07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.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The file can be opened by Graphpad 4.0.</w:t>
      </w:r>
    </w:p>
    <w:p w:rsid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</w:p>
    <w:p w:rsid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Raw data of figure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3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>: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the raw data of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the b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inding mode prediction of 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>07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(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>A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)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and 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>23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(B) 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with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AChE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 (PDB id: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2CKM</w:t>
      </w:r>
      <w:r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>)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.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The file can be opened by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Discovery studio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3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.0.</w:t>
      </w:r>
    </w:p>
    <w:p w:rsid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</w:p>
    <w:p w:rsid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Raw data of figure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4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>: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the ra</w:t>
      </w:r>
      <w:bookmarkStart w:id="0" w:name="_GoBack"/>
      <w:bookmarkEnd w:id="0"/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w data of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the b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inding mode prediction of 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>04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and </w:t>
      </w:r>
      <w:r w:rsidRPr="008C45E6">
        <w:rPr>
          <w:rFonts w:ascii="Palatino Linotype" w:eastAsia="Times New Roman" w:hAnsi="Palatino Linotype" w:cs="Times New Roman"/>
          <w:b/>
          <w:color w:val="000000"/>
          <w:kern w:val="0"/>
          <w:szCs w:val="21"/>
          <w:lang w:eastAsia="de-DE" w:bidi="en-US"/>
        </w:rPr>
        <w:t>07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with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AChE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 xml:space="preserve"> (PDB id: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2CKM</w:t>
      </w:r>
      <w:r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>)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.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The file can be opened by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Discovery studio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3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.0.</w:t>
      </w:r>
    </w:p>
    <w:p w:rsidR="008C45E6" w:rsidRDefault="008C45E6">
      <w:pP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</w:pPr>
    </w:p>
    <w:p w:rsidR="008C45E6" w:rsidRPr="008C45E6" w:rsidRDefault="008C45E6">
      <w:pPr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</w:pP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Raw data of figure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5</w:t>
      </w:r>
      <w:r w:rsidRPr="008C45E6">
        <w:rPr>
          <w:rFonts w:ascii="Palatino Linotype" w:eastAsia="Times New Roman" w:hAnsi="Palatino Linotype" w:cs="Times New Roman" w:hint="eastAsia"/>
          <w:color w:val="000000"/>
          <w:kern w:val="0"/>
          <w:szCs w:val="21"/>
          <w:lang w:eastAsia="de-DE" w:bidi="en-US"/>
        </w:rPr>
        <w:t>: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the raw data of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 the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s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tructural determinants and modification strategy of 4-aminoquinoline core. 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 xml:space="preserve">The file can be opened by </w:t>
      </w:r>
      <w:r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Chemdraw 11.0</w:t>
      </w:r>
      <w:r w:rsidRPr="008C45E6">
        <w:rPr>
          <w:rFonts w:ascii="Palatino Linotype" w:eastAsia="Times New Roman" w:hAnsi="Palatino Linotype" w:cs="Times New Roman"/>
          <w:color w:val="000000"/>
          <w:kern w:val="0"/>
          <w:szCs w:val="21"/>
          <w:lang w:eastAsia="de-DE" w:bidi="en-US"/>
        </w:rPr>
        <w:t>.</w:t>
      </w:r>
    </w:p>
    <w:sectPr w:rsidR="008C45E6" w:rsidRPr="008C4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48" w:rsidRDefault="008B1C48" w:rsidP="008C45E6">
      <w:r>
        <w:separator/>
      </w:r>
    </w:p>
  </w:endnote>
  <w:endnote w:type="continuationSeparator" w:id="0">
    <w:p w:rsidR="008B1C48" w:rsidRDefault="008B1C48" w:rsidP="008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48" w:rsidRDefault="008B1C48" w:rsidP="008C45E6">
      <w:r>
        <w:separator/>
      </w:r>
    </w:p>
  </w:footnote>
  <w:footnote w:type="continuationSeparator" w:id="0">
    <w:p w:rsidR="008B1C48" w:rsidRDefault="008B1C48" w:rsidP="008C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83"/>
    <w:rsid w:val="008B1C48"/>
    <w:rsid w:val="008C45E6"/>
    <w:rsid w:val="00A901E4"/>
    <w:rsid w:val="00D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F43D5"/>
  <w15:chartTrackingRefBased/>
  <w15:docId w15:val="{C900A024-8F7F-4644-BD36-38F4BF3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5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孙昊鹏</dc:creator>
  <cp:keywords/>
  <dc:description/>
  <cp:lastModifiedBy>孙昊鹏</cp:lastModifiedBy>
  <cp:revision>2</cp:revision>
  <dcterms:created xsi:type="dcterms:W3CDTF">2016-05-10T04:03:00Z</dcterms:created>
  <dcterms:modified xsi:type="dcterms:W3CDTF">2016-05-10T04:09:00Z</dcterms:modified>
</cp:coreProperties>
</file>