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DEB40" w14:textId="776B784A" w:rsidR="00E62000" w:rsidRDefault="00E62000" w:rsidP="00E62000">
      <w:pPr>
        <w:pStyle w:val="Title"/>
      </w:pPr>
      <w:r>
        <w:t>Supplementary Analys</w:t>
      </w:r>
      <w:r w:rsidR="004A12EE">
        <w:t>e</w:t>
      </w:r>
      <w:r>
        <w:t>s</w:t>
      </w:r>
    </w:p>
    <w:p w14:paraId="054AB383" w14:textId="3ABA9B61" w:rsidR="00E62000" w:rsidRPr="00E62000" w:rsidRDefault="00C86418" w:rsidP="00E62000">
      <w:r>
        <w:t>The analyses</w:t>
      </w:r>
      <w:r w:rsidR="00E62000">
        <w:t xml:space="preserve"> below are included due to their mention as planned exploratory analyses </w:t>
      </w:r>
      <w:r w:rsidR="00D4002F">
        <w:t>in our p</w:t>
      </w:r>
      <w:r w:rsidR="00E62000">
        <w:t>reregistration on the Open Science Framework (</w:t>
      </w:r>
      <w:hyperlink r:id="rId5" w:history="1">
        <w:r w:rsidR="00E62000" w:rsidRPr="006925C0">
          <w:rPr>
            <w:rStyle w:val="Hyperlink"/>
          </w:rPr>
          <w:t>https://osf.io/b7eak/</w:t>
        </w:r>
      </w:hyperlink>
      <w:r w:rsidR="002556EB">
        <w:t xml:space="preserve">). </w:t>
      </w:r>
    </w:p>
    <w:p w14:paraId="5A22F398" w14:textId="0BEC7671" w:rsidR="00B24223" w:rsidRDefault="00E62000" w:rsidP="005547B1">
      <w:pPr>
        <w:pStyle w:val="Heading3"/>
      </w:pPr>
      <w:r w:rsidRPr="005547B1">
        <w:t xml:space="preserve">Exploratory Analysis 1: </w:t>
      </w:r>
      <w:r w:rsidR="00B24223" w:rsidRPr="005547B1">
        <w:t>D</w:t>
      </w:r>
      <w:r w:rsidR="00F42C0A" w:rsidRPr="005547B1">
        <w:t>o reaction time</w:t>
      </w:r>
      <w:r w:rsidR="00B24223" w:rsidRPr="005547B1">
        <w:t xml:space="preserve">s get longer as the test goes on? Does this effect differ between </w:t>
      </w:r>
      <w:r w:rsidR="00C86418">
        <w:t>task variants</w:t>
      </w:r>
      <w:r w:rsidR="00B24223" w:rsidRPr="005547B1">
        <w:t>?</w:t>
      </w:r>
    </w:p>
    <w:p w14:paraId="299F1AA6" w14:textId="6A5CE4E7" w:rsidR="004E2A6F" w:rsidRDefault="00CC783D" w:rsidP="00834920">
      <w:pPr>
        <w:spacing w:after="0"/>
        <w:ind w:firstLine="720"/>
      </w:pPr>
      <w:r>
        <w:t xml:space="preserve">We calculated </w:t>
      </w:r>
      <w:r w:rsidR="0074590C">
        <w:t>a standardised Go RT</w:t>
      </w:r>
      <w:r>
        <w:t xml:space="preserve"> for </w:t>
      </w:r>
      <w:r w:rsidR="0074590C">
        <w:t>each</w:t>
      </w:r>
      <w:r>
        <w:t xml:space="preserve"> trial </w:t>
      </w:r>
      <w:r w:rsidR="0074590C">
        <w:t>based on the</w:t>
      </w:r>
      <w:r>
        <w:t xml:space="preserve"> </w:t>
      </w:r>
      <w:r w:rsidR="0074590C">
        <w:t>participant’s</w:t>
      </w:r>
      <w:r>
        <w:t xml:space="preserve"> mean RT and standard deviation of their RT. We then averaged these standardised RTs </w:t>
      </w:r>
      <w:r w:rsidR="006E30E8">
        <w:t>within</w:t>
      </w:r>
      <w:r>
        <w:t xml:space="preserve"> sub-blocks</w:t>
      </w:r>
      <w:r w:rsidR="00CC7CD5">
        <w:t xml:space="preserve"> (12 trials </w:t>
      </w:r>
      <w:r w:rsidR="006E30E8">
        <w:t>per</w:t>
      </w:r>
      <w:r w:rsidR="00CC7CD5">
        <w:t xml:space="preserve"> sub-block</w:t>
      </w:r>
      <w:r w:rsidR="00CD049C">
        <w:t>, 300 trials</w:t>
      </w:r>
      <w:r w:rsidR="006E30E8">
        <w:t xml:space="preserve"> total</w:t>
      </w:r>
      <w:r w:rsidR="00CC7CD5">
        <w:t xml:space="preserve">) and </w:t>
      </w:r>
      <w:r w:rsidR="006E30E8">
        <w:t>over sites.</w:t>
      </w:r>
    </w:p>
    <w:p w14:paraId="62CDD5CA" w14:textId="7CF2FCC4" w:rsidR="00D4002F" w:rsidRDefault="00CC783D" w:rsidP="004E2A6F">
      <w:pPr>
        <w:ind w:firstLine="720"/>
      </w:pPr>
      <w:r>
        <w:t xml:space="preserve">A two-way ANOVA </w:t>
      </w:r>
      <w:r w:rsidR="007D3F9F">
        <w:t xml:space="preserve">of standardised Go RT gave clear evidence of </w:t>
      </w:r>
      <w:r w:rsidR="00C52FBD">
        <w:t>a main effect of s</w:t>
      </w:r>
      <w:r>
        <w:t xml:space="preserve">ub-block number </w:t>
      </w:r>
      <w:r w:rsidR="00363520">
        <w:t>(F [24,</w:t>
      </w:r>
      <w:r w:rsidR="00C6289D">
        <w:t xml:space="preserve"> </w:t>
      </w:r>
      <w:r w:rsidR="00363520">
        <w:t>75</w:t>
      </w:r>
      <w:r w:rsidR="00363520" w:rsidRPr="00477D6D">
        <w:t xml:space="preserve">] = </w:t>
      </w:r>
      <w:r w:rsidR="00363520">
        <w:t>14.547</w:t>
      </w:r>
      <w:r w:rsidR="00363520" w:rsidRPr="00477D6D">
        <w:t xml:space="preserve">, </w:t>
      </w:r>
      <w:r w:rsidR="00363520" w:rsidRPr="00477D6D">
        <w:rPr>
          <w:i/>
        </w:rPr>
        <w:t>p</w:t>
      </w:r>
      <w:r w:rsidR="00363520" w:rsidRPr="00477D6D">
        <w:t xml:space="preserve"> &lt; .001</w:t>
      </w:r>
      <w:r w:rsidR="00363520">
        <w:t xml:space="preserve">, </w:t>
      </w:r>
      <w:r w:rsidR="00363520" w:rsidRPr="00BB7751">
        <w:t>η²</w:t>
      </w:r>
      <w:r w:rsidR="00363520">
        <w:rPr>
          <w:i/>
        </w:rPr>
        <w:t xml:space="preserve"> </w:t>
      </w:r>
      <w:r w:rsidR="00363520">
        <w:t>= .82</w:t>
      </w:r>
      <w:r w:rsidR="00363520" w:rsidRPr="00477D6D">
        <w:t>),</w:t>
      </w:r>
      <w:r w:rsidR="00363520">
        <w:t xml:space="preserve"> but not of task variant or an interaction (</w:t>
      </w:r>
      <w:proofErr w:type="spellStart"/>
      <w:r w:rsidR="00363520">
        <w:rPr>
          <w:i/>
        </w:rPr>
        <w:t>p</w:t>
      </w:r>
      <w:r w:rsidR="00363520">
        <w:t>s</w:t>
      </w:r>
      <w:proofErr w:type="spellEnd"/>
      <w:r w:rsidR="00363520">
        <w:t xml:space="preserve"> &gt; 0.057)</w:t>
      </w:r>
      <w:r w:rsidR="007D3F9F">
        <w:t xml:space="preserve">. </w:t>
      </w:r>
      <w:r w:rsidR="00B66294">
        <w:t xml:space="preserve">We used </w:t>
      </w:r>
      <w:r w:rsidR="005051BE">
        <w:t xml:space="preserve">simple </w:t>
      </w:r>
      <w:r w:rsidR="00B66294">
        <w:t xml:space="preserve">linear regression to assess the relationship between sub-block </w:t>
      </w:r>
      <w:r w:rsidR="00C6289D">
        <w:t>number and</w:t>
      </w:r>
      <w:r w:rsidR="00B66294">
        <w:t xml:space="preserve"> standardised Go RT in each group, and found </w:t>
      </w:r>
      <w:r w:rsidR="00C6289D">
        <w:t>good</w:t>
      </w:r>
      <w:r w:rsidR="00B66294">
        <w:t xml:space="preserve"> evidence for a relationship in each case </w:t>
      </w:r>
      <w:r w:rsidR="00C6289D">
        <w:t>(non-game: R</w:t>
      </w:r>
      <w:r w:rsidR="00C6289D">
        <w:rPr>
          <w:vertAlign w:val="superscript"/>
        </w:rPr>
        <w:t>2</w:t>
      </w:r>
      <w:r w:rsidR="00C6289D">
        <w:t xml:space="preserve"> = .44, F[1, 48] = 37.742, </w:t>
      </w:r>
      <w:r w:rsidR="00C6289D" w:rsidRPr="00477D6D">
        <w:rPr>
          <w:i/>
        </w:rPr>
        <w:t>p</w:t>
      </w:r>
      <w:r w:rsidR="00C6289D" w:rsidRPr="00477D6D">
        <w:t xml:space="preserve"> &lt; .001</w:t>
      </w:r>
      <w:r w:rsidR="00C6289D">
        <w:t>; points: R</w:t>
      </w:r>
      <w:r w:rsidR="00C6289D">
        <w:rPr>
          <w:vertAlign w:val="superscript"/>
        </w:rPr>
        <w:t>2</w:t>
      </w:r>
      <w:r w:rsidR="00C6289D">
        <w:t xml:space="preserve"> = .</w:t>
      </w:r>
      <w:r w:rsidR="0056338B">
        <w:t>28</w:t>
      </w:r>
      <w:r w:rsidR="00C6289D">
        <w:t xml:space="preserve">, F[1, 48] = </w:t>
      </w:r>
      <w:r w:rsidR="0056338B">
        <w:t>18.75</w:t>
      </w:r>
      <w:r w:rsidR="00C6289D">
        <w:t xml:space="preserve">2, </w:t>
      </w:r>
      <w:r w:rsidR="00C6289D" w:rsidRPr="00477D6D">
        <w:rPr>
          <w:i/>
        </w:rPr>
        <w:t>p</w:t>
      </w:r>
      <w:r w:rsidR="00C6289D" w:rsidRPr="00477D6D">
        <w:t xml:space="preserve"> &lt; .001</w:t>
      </w:r>
      <w:r w:rsidR="00C6289D">
        <w:t>; theme: R</w:t>
      </w:r>
      <w:r w:rsidR="00C6289D">
        <w:rPr>
          <w:vertAlign w:val="superscript"/>
        </w:rPr>
        <w:t>2</w:t>
      </w:r>
      <w:r w:rsidR="00C6289D">
        <w:t xml:space="preserve"> </w:t>
      </w:r>
      <w:r w:rsidR="0056338B">
        <w:t>= .58</w:t>
      </w:r>
      <w:r w:rsidR="00C6289D">
        <w:t xml:space="preserve">, F[1, 48] = </w:t>
      </w:r>
      <w:r w:rsidR="0056338B">
        <w:t>65</w:t>
      </w:r>
      <w:r w:rsidR="00C6289D">
        <w:t>.</w:t>
      </w:r>
      <w:r w:rsidR="0056338B">
        <w:t>578</w:t>
      </w:r>
      <w:r w:rsidR="00C6289D">
        <w:t xml:space="preserve">, </w:t>
      </w:r>
      <w:r w:rsidR="00C6289D" w:rsidRPr="00477D6D">
        <w:rPr>
          <w:i/>
        </w:rPr>
        <w:t>p</w:t>
      </w:r>
      <w:r w:rsidR="00C6289D" w:rsidRPr="00477D6D">
        <w:t xml:space="preserve"> &lt; .001</w:t>
      </w:r>
      <w:r w:rsidR="0056338B">
        <w:t>)</w:t>
      </w:r>
      <w:r w:rsidR="004A5183">
        <w:t xml:space="preserve">. We plotted the data and </w:t>
      </w:r>
      <w:r w:rsidR="000C6B38">
        <w:t>regression lines</w:t>
      </w:r>
      <w:r w:rsidR="004A5183">
        <w:t>, see Figure 1. We also calculated the modelled change in standardised Go RT from the first sub-block to the final sub-block</w:t>
      </w:r>
      <w:r w:rsidR="006E30E8">
        <w:t>, see Table 1</w:t>
      </w:r>
      <w:r w:rsidR="004A5183">
        <w:t>.</w:t>
      </w:r>
    </w:p>
    <w:p w14:paraId="2CB3C053" w14:textId="365EBAEF" w:rsidR="003F317B" w:rsidRPr="003F317B" w:rsidRDefault="00FA7CAA" w:rsidP="003F317B">
      <w:pPr>
        <w:autoSpaceDE w:val="0"/>
        <w:autoSpaceDN w:val="0"/>
        <w:adjustRightInd w:val="0"/>
        <w:spacing w:after="0" w:line="400" w:lineRule="atLeast"/>
      </w:pPr>
      <w:r>
        <w:rPr>
          <w:noProof/>
          <w:lang w:eastAsia="en-GB"/>
        </w:rPr>
        <w:drawing>
          <wp:inline distT="0" distB="0" distL="0" distR="0" wp14:anchorId="6B362270" wp14:editId="450F3F17">
            <wp:extent cx="5053145" cy="367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1202" cy="3689788"/>
                    </a:xfrm>
                    <a:prstGeom prst="rect">
                      <a:avLst/>
                    </a:prstGeom>
                    <a:noFill/>
                  </pic:spPr>
                </pic:pic>
              </a:graphicData>
            </a:graphic>
          </wp:inline>
        </w:drawing>
      </w:r>
    </w:p>
    <w:p w14:paraId="6AA55D6D" w14:textId="448D8BC5" w:rsidR="00967AEB" w:rsidRDefault="00FA7CAA" w:rsidP="00967AEB">
      <w:pPr>
        <w:autoSpaceDE w:val="0"/>
        <w:autoSpaceDN w:val="0"/>
        <w:adjustRightInd w:val="0"/>
        <w:spacing w:after="0" w:line="240" w:lineRule="auto"/>
      </w:pPr>
      <w:r w:rsidRPr="00FA7CAA">
        <w:rPr>
          <w:b/>
        </w:rPr>
        <w:t xml:space="preserve">Figure 1: </w:t>
      </w:r>
      <w:r>
        <w:t xml:space="preserve">Standardised Go RT plotted against sub-block number, showing a downward trend as the experiment </w:t>
      </w:r>
      <w:r w:rsidR="00C52FBD">
        <w:t>progresses</w:t>
      </w:r>
      <w:r>
        <w:t xml:space="preserve">. </w:t>
      </w:r>
    </w:p>
    <w:p w14:paraId="69E6F61E" w14:textId="77777777" w:rsidR="000C6B38" w:rsidRPr="00967AEB" w:rsidRDefault="000C6B38" w:rsidP="00967AEB">
      <w:pPr>
        <w:autoSpaceDE w:val="0"/>
        <w:autoSpaceDN w:val="0"/>
        <w:adjustRightInd w:val="0"/>
        <w:spacing w:after="0" w:line="240" w:lineRule="auto"/>
      </w:pPr>
    </w:p>
    <w:tbl>
      <w:tblPr>
        <w:tblStyle w:val="TableGrid"/>
        <w:tblW w:w="7933" w:type="dxa"/>
        <w:tblLook w:val="04A0" w:firstRow="1" w:lastRow="0" w:firstColumn="1" w:lastColumn="0" w:noHBand="0" w:noVBand="1"/>
      </w:tblPr>
      <w:tblGrid>
        <w:gridCol w:w="1703"/>
        <w:gridCol w:w="1270"/>
        <w:gridCol w:w="1283"/>
        <w:gridCol w:w="3677"/>
      </w:tblGrid>
      <w:tr w:rsidR="007E2D59" w:rsidRPr="000C6B38" w14:paraId="1C76EF91" w14:textId="77777777" w:rsidTr="007E2D59">
        <w:trPr>
          <w:trHeight w:val="300"/>
        </w:trPr>
        <w:tc>
          <w:tcPr>
            <w:tcW w:w="1703" w:type="dxa"/>
            <w:noWrap/>
            <w:hideMark/>
          </w:tcPr>
          <w:p w14:paraId="317C3B1F" w14:textId="5C7CD23D" w:rsidR="007E2D59" w:rsidRPr="000C6B38" w:rsidRDefault="007E2D59" w:rsidP="000C6B38">
            <w:pPr>
              <w:rPr>
                <w:b/>
              </w:rPr>
            </w:pPr>
            <w:r w:rsidRPr="000C6B38">
              <w:rPr>
                <w:b/>
              </w:rPr>
              <w:t>Task Variant</w:t>
            </w:r>
          </w:p>
        </w:tc>
        <w:tc>
          <w:tcPr>
            <w:tcW w:w="1270" w:type="dxa"/>
            <w:noWrap/>
            <w:hideMark/>
          </w:tcPr>
          <w:p w14:paraId="05F4EA82" w14:textId="018D1D33" w:rsidR="007E2D59" w:rsidRPr="000C6B38" w:rsidRDefault="007E2D59" w:rsidP="000C6B38">
            <w:pPr>
              <w:rPr>
                <w:b/>
                <w:color w:val="000000"/>
              </w:rPr>
            </w:pPr>
            <w:r>
              <w:rPr>
                <w:b/>
                <w:color w:val="000000"/>
              </w:rPr>
              <w:t>Gradient</w:t>
            </w:r>
          </w:p>
        </w:tc>
        <w:tc>
          <w:tcPr>
            <w:tcW w:w="1283" w:type="dxa"/>
            <w:noWrap/>
            <w:hideMark/>
          </w:tcPr>
          <w:p w14:paraId="1FD53354" w14:textId="5EE2E357" w:rsidR="007E2D59" w:rsidRPr="000C6B38" w:rsidRDefault="007E2D59" w:rsidP="000C6B38">
            <w:pPr>
              <w:rPr>
                <w:b/>
                <w:color w:val="000000"/>
              </w:rPr>
            </w:pPr>
            <w:r>
              <w:rPr>
                <w:b/>
                <w:color w:val="000000"/>
              </w:rPr>
              <w:t>Intercept</w:t>
            </w:r>
          </w:p>
        </w:tc>
        <w:tc>
          <w:tcPr>
            <w:tcW w:w="3677" w:type="dxa"/>
            <w:noWrap/>
            <w:hideMark/>
          </w:tcPr>
          <w:p w14:paraId="0B2EC637" w14:textId="0F1216A1" w:rsidR="007E2D59" w:rsidRPr="000C6B38" w:rsidRDefault="007E2D59" w:rsidP="007E2D59">
            <w:pPr>
              <w:rPr>
                <w:b/>
                <w:color w:val="000000"/>
              </w:rPr>
            </w:pPr>
            <w:r>
              <w:rPr>
                <w:b/>
                <w:color w:val="000000"/>
              </w:rPr>
              <w:t xml:space="preserve">Change in modelled standardised Go RT over whole task </w:t>
            </w:r>
          </w:p>
        </w:tc>
      </w:tr>
      <w:tr w:rsidR="007E2D59" w:rsidRPr="000C6B38" w14:paraId="604FD778" w14:textId="77777777" w:rsidTr="007E2D59">
        <w:trPr>
          <w:trHeight w:val="300"/>
        </w:trPr>
        <w:tc>
          <w:tcPr>
            <w:tcW w:w="1703" w:type="dxa"/>
            <w:noWrap/>
            <w:hideMark/>
          </w:tcPr>
          <w:p w14:paraId="19D16160" w14:textId="77777777" w:rsidR="007E2D59" w:rsidRPr="000C6B38" w:rsidRDefault="007E2D59" w:rsidP="000C6B38">
            <w:pPr>
              <w:rPr>
                <w:color w:val="000000"/>
              </w:rPr>
            </w:pPr>
            <w:r w:rsidRPr="000C6B38">
              <w:rPr>
                <w:color w:val="000000"/>
              </w:rPr>
              <w:t>Non-game</w:t>
            </w:r>
          </w:p>
        </w:tc>
        <w:tc>
          <w:tcPr>
            <w:tcW w:w="1270" w:type="dxa"/>
            <w:noWrap/>
            <w:hideMark/>
          </w:tcPr>
          <w:p w14:paraId="10914F3C" w14:textId="77777777" w:rsidR="007E2D59" w:rsidRPr="000C6B38" w:rsidRDefault="007E2D59" w:rsidP="000C6B38">
            <w:pPr>
              <w:jc w:val="right"/>
              <w:rPr>
                <w:color w:val="000000"/>
              </w:rPr>
            </w:pPr>
            <w:r w:rsidRPr="000C6B38">
              <w:rPr>
                <w:color w:val="000000"/>
              </w:rPr>
              <w:t>-0.016</w:t>
            </w:r>
          </w:p>
        </w:tc>
        <w:tc>
          <w:tcPr>
            <w:tcW w:w="1283" w:type="dxa"/>
            <w:noWrap/>
            <w:hideMark/>
          </w:tcPr>
          <w:p w14:paraId="31995C7B" w14:textId="77777777" w:rsidR="007E2D59" w:rsidRPr="000C6B38" w:rsidRDefault="007E2D59" w:rsidP="000C6B38">
            <w:pPr>
              <w:jc w:val="right"/>
              <w:rPr>
                <w:color w:val="000000"/>
              </w:rPr>
            </w:pPr>
            <w:r w:rsidRPr="000C6B38">
              <w:rPr>
                <w:color w:val="000000"/>
              </w:rPr>
              <w:t>0.1982</w:t>
            </w:r>
          </w:p>
        </w:tc>
        <w:tc>
          <w:tcPr>
            <w:tcW w:w="3677" w:type="dxa"/>
            <w:noWrap/>
            <w:hideMark/>
          </w:tcPr>
          <w:p w14:paraId="3B344BE1" w14:textId="4EEBAD10" w:rsidR="007E2D59" w:rsidRPr="000C6B38" w:rsidRDefault="007E2D59" w:rsidP="000C6B38">
            <w:pPr>
              <w:jc w:val="right"/>
              <w:rPr>
                <w:color w:val="000000"/>
              </w:rPr>
            </w:pPr>
            <w:r>
              <w:rPr>
                <w:color w:val="000000"/>
              </w:rPr>
              <w:t>-</w:t>
            </w:r>
            <w:r w:rsidRPr="000C6B38">
              <w:rPr>
                <w:color w:val="000000"/>
              </w:rPr>
              <w:t>0.39</w:t>
            </w:r>
          </w:p>
        </w:tc>
      </w:tr>
      <w:tr w:rsidR="007E2D59" w:rsidRPr="000C6B38" w14:paraId="601FD1C9" w14:textId="77777777" w:rsidTr="007E2D59">
        <w:trPr>
          <w:trHeight w:val="300"/>
        </w:trPr>
        <w:tc>
          <w:tcPr>
            <w:tcW w:w="1703" w:type="dxa"/>
            <w:noWrap/>
            <w:hideMark/>
          </w:tcPr>
          <w:p w14:paraId="720A0389" w14:textId="77777777" w:rsidR="007E2D59" w:rsidRPr="000C6B38" w:rsidRDefault="007E2D59" w:rsidP="000C6B38">
            <w:pPr>
              <w:rPr>
                <w:color w:val="000000"/>
              </w:rPr>
            </w:pPr>
            <w:r w:rsidRPr="000C6B38">
              <w:rPr>
                <w:color w:val="000000"/>
              </w:rPr>
              <w:t>Points</w:t>
            </w:r>
          </w:p>
        </w:tc>
        <w:tc>
          <w:tcPr>
            <w:tcW w:w="1270" w:type="dxa"/>
            <w:noWrap/>
            <w:hideMark/>
          </w:tcPr>
          <w:p w14:paraId="0536A306" w14:textId="77777777" w:rsidR="007E2D59" w:rsidRPr="000C6B38" w:rsidRDefault="007E2D59" w:rsidP="000C6B38">
            <w:pPr>
              <w:jc w:val="right"/>
              <w:rPr>
                <w:color w:val="000000"/>
              </w:rPr>
            </w:pPr>
            <w:r w:rsidRPr="000C6B38">
              <w:rPr>
                <w:color w:val="000000"/>
              </w:rPr>
              <w:t>-0.01</w:t>
            </w:r>
          </w:p>
        </w:tc>
        <w:tc>
          <w:tcPr>
            <w:tcW w:w="1283" w:type="dxa"/>
            <w:noWrap/>
            <w:hideMark/>
          </w:tcPr>
          <w:p w14:paraId="1C18C139" w14:textId="77777777" w:rsidR="007E2D59" w:rsidRPr="000C6B38" w:rsidRDefault="007E2D59" w:rsidP="000C6B38">
            <w:pPr>
              <w:jc w:val="right"/>
              <w:rPr>
                <w:color w:val="000000"/>
              </w:rPr>
            </w:pPr>
            <w:r w:rsidRPr="000C6B38">
              <w:rPr>
                <w:color w:val="000000"/>
              </w:rPr>
              <w:t>0.1193</w:t>
            </w:r>
          </w:p>
        </w:tc>
        <w:tc>
          <w:tcPr>
            <w:tcW w:w="3677" w:type="dxa"/>
            <w:noWrap/>
            <w:hideMark/>
          </w:tcPr>
          <w:p w14:paraId="78BC052F" w14:textId="425B1E59" w:rsidR="007E2D59" w:rsidRPr="000C6B38" w:rsidRDefault="007E2D59" w:rsidP="000C6B38">
            <w:pPr>
              <w:jc w:val="right"/>
              <w:rPr>
                <w:color w:val="000000"/>
              </w:rPr>
            </w:pPr>
            <w:r>
              <w:rPr>
                <w:color w:val="000000"/>
              </w:rPr>
              <w:t>-</w:t>
            </w:r>
            <w:r w:rsidRPr="000C6B38">
              <w:rPr>
                <w:color w:val="000000"/>
              </w:rPr>
              <w:t>0.24</w:t>
            </w:r>
          </w:p>
        </w:tc>
      </w:tr>
      <w:tr w:rsidR="007E2D59" w:rsidRPr="000C6B38" w14:paraId="0289574E" w14:textId="77777777" w:rsidTr="007E2D59">
        <w:trPr>
          <w:trHeight w:val="300"/>
        </w:trPr>
        <w:tc>
          <w:tcPr>
            <w:tcW w:w="1703" w:type="dxa"/>
            <w:noWrap/>
            <w:hideMark/>
          </w:tcPr>
          <w:p w14:paraId="3FBFF3A5" w14:textId="77777777" w:rsidR="007E2D59" w:rsidRPr="000C6B38" w:rsidRDefault="007E2D59" w:rsidP="000C6B38">
            <w:pPr>
              <w:rPr>
                <w:color w:val="000000"/>
              </w:rPr>
            </w:pPr>
            <w:r w:rsidRPr="000C6B38">
              <w:rPr>
                <w:color w:val="000000"/>
              </w:rPr>
              <w:t>Theme</w:t>
            </w:r>
          </w:p>
        </w:tc>
        <w:tc>
          <w:tcPr>
            <w:tcW w:w="1270" w:type="dxa"/>
            <w:noWrap/>
            <w:hideMark/>
          </w:tcPr>
          <w:p w14:paraId="41F2E2CC" w14:textId="77777777" w:rsidR="007E2D59" w:rsidRPr="000C6B38" w:rsidRDefault="007E2D59" w:rsidP="000C6B38">
            <w:pPr>
              <w:jc w:val="right"/>
              <w:rPr>
                <w:color w:val="000000"/>
              </w:rPr>
            </w:pPr>
            <w:r w:rsidRPr="000C6B38">
              <w:rPr>
                <w:color w:val="000000"/>
              </w:rPr>
              <w:t>-0.014</w:t>
            </w:r>
          </w:p>
        </w:tc>
        <w:tc>
          <w:tcPr>
            <w:tcW w:w="1283" w:type="dxa"/>
            <w:noWrap/>
            <w:hideMark/>
          </w:tcPr>
          <w:p w14:paraId="1DF38E7E" w14:textId="77777777" w:rsidR="007E2D59" w:rsidRPr="000C6B38" w:rsidRDefault="007E2D59" w:rsidP="000C6B38">
            <w:pPr>
              <w:jc w:val="right"/>
              <w:rPr>
                <w:color w:val="000000"/>
              </w:rPr>
            </w:pPr>
            <w:r w:rsidRPr="000C6B38">
              <w:rPr>
                <w:color w:val="000000"/>
              </w:rPr>
              <w:t>0.1476</w:t>
            </w:r>
          </w:p>
        </w:tc>
        <w:tc>
          <w:tcPr>
            <w:tcW w:w="3677" w:type="dxa"/>
            <w:noWrap/>
            <w:hideMark/>
          </w:tcPr>
          <w:p w14:paraId="6FD96876" w14:textId="3CA80683" w:rsidR="007E2D59" w:rsidRPr="000C6B38" w:rsidRDefault="007E2D59" w:rsidP="000C6B38">
            <w:pPr>
              <w:jc w:val="right"/>
              <w:rPr>
                <w:color w:val="000000"/>
              </w:rPr>
            </w:pPr>
            <w:r>
              <w:rPr>
                <w:color w:val="000000"/>
              </w:rPr>
              <w:t>-</w:t>
            </w:r>
            <w:r w:rsidRPr="000C6B38">
              <w:rPr>
                <w:color w:val="000000"/>
              </w:rPr>
              <w:t>0.33</w:t>
            </w:r>
          </w:p>
        </w:tc>
      </w:tr>
    </w:tbl>
    <w:p w14:paraId="0C43D378" w14:textId="71BC2F88" w:rsidR="00967AEB" w:rsidRDefault="006E30E8" w:rsidP="00D4002F">
      <w:r>
        <w:rPr>
          <w:b/>
        </w:rPr>
        <w:t>Table 1</w:t>
      </w:r>
      <w:r w:rsidR="000C6B38" w:rsidRPr="000C6B38">
        <w:rPr>
          <w:b/>
        </w:rPr>
        <w:t>:</w:t>
      </w:r>
      <w:r w:rsidR="000C6B38">
        <w:rPr>
          <w:b/>
        </w:rPr>
        <w:t xml:space="preserve"> </w:t>
      </w:r>
      <w:r w:rsidR="000C6B38">
        <w:t xml:space="preserve">Regression equations for each task variant, linking </w:t>
      </w:r>
      <w:r w:rsidR="00556FFC">
        <w:t>s</w:t>
      </w:r>
      <w:r w:rsidR="000C6B38">
        <w:t xml:space="preserve">ub-block number to standardised Go RT. </w:t>
      </w:r>
    </w:p>
    <w:p w14:paraId="0BEAF976" w14:textId="4C5B6142" w:rsidR="005547B1" w:rsidRPr="00C86418" w:rsidRDefault="005547B1" w:rsidP="00834920">
      <w:pPr>
        <w:spacing w:after="0"/>
        <w:rPr>
          <w:b/>
        </w:rPr>
      </w:pPr>
      <w:r w:rsidRPr="005547B1">
        <w:rPr>
          <w:rStyle w:val="Heading3Char"/>
          <w:rFonts w:eastAsiaTheme="minorHAnsi"/>
        </w:rPr>
        <w:lastRenderedPageBreak/>
        <w:t>Exploratory Analysis 2:</w:t>
      </w:r>
      <w:r w:rsidR="00B24223" w:rsidRPr="005547B1">
        <w:rPr>
          <w:rStyle w:val="Heading3Char"/>
          <w:rFonts w:eastAsiaTheme="minorHAnsi"/>
        </w:rPr>
        <w:t xml:space="preserve"> Does No-Go accuracy </w:t>
      </w:r>
      <w:r w:rsidR="00D4002F" w:rsidRPr="005547B1">
        <w:rPr>
          <w:rStyle w:val="Heading3Char"/>
          <w:rFonts w:eastAsiaTheme="minorHAnsi"/>
        </w:rPr>
        <w:t xml:space="preserve">get </w:t>
      </w:r>
      <w:r w:rsidR="00B24223" w:rsidRPr="005547B1">
        <w:rPr>
          <w:rStyle w:val="Heading3Char"/>
          <w:rFonts w:eastAsiaTheme="minorHAnsi"/>
        </w:rPr>
        <w:t>lower</w:t>
      </w:r>
      <w:r w:rsidR="00D4002F" w:rsidRPr="005547B1">
        <w:rPr>
          <w:rStyle w:val="Heading3Char"/>
          <w:rFonts w:eastAsiaTheme="minorHAnsi"/>
        </w:rPr>
        <w:t xml:space="preserve"> as the test goes on? Does this effect differ </w:t>
      </w:r>
      <w:r w:rsidR="00D4002F" w:rsidRPr="00C86418">
        <w:rPr>
          <w:rStyle w:val="Heading3Char"/>
          <w:rFonts w:eastAsiaTheme="minorHAnsi"/>
        </w:rPr>
        <w:t xml:space="preserve">between </w:t>
      </w:r>
      <w:r w:rsidR="00C86418" w:rsidRPr="00C86418">
        <w:rPr>
          <w:b/>
        </w:rPr>
        <w:t>task variants</w:t>
      </w:r>
      <w:r w:rsidR="00D4002F" w:rsidRPr="00C86418">
        <w:rPr>
          <w:rStyle w:val="Heading3Char"/>
          <w:rFonts w:eastAsiaTheme="minorHAnsi"/>
        </w:rPr>
        <w:t>?</w:t>
      </w:r>
      <w:r w:rsidR="00D4002F" w:rsidRPr="00C86418">
        <w:rPr>
          <w:b/>
        </w:rPr>
        <w:t xml:space="preserve"> </w:t>
      </w:r>
    </w:p>
    <w:p w14:paraId="3FDB402D" w14:textId="4E407A9B" w:rsidR="00834920" w:rsidRDefault="00834920" w:rsidP="005051BE">
      <w:pPr>
        <w:ind w:firstLine="720"/>
      </w:pPr>
      <w:r>
        <w:t>We calculated mean No-Go accuracy in each sub-block (3 No-Go trials in each), split by task variant. A two-way ANOVA of No-Go accuracy gave clear evidence of a main effect of Sub-block number (F [24, 75</w:t>
      </w:r>
      <w:r w:rsidRPr="00477D6D">
        <w:t xml:space="preserve">] = </w:t>
      </w:r>
      <w:r w:rsidR="00292CE7">
        <w:t>3</w:t>
      </w:r>
      <w:r>
        <w:t>.</w:t>
      </w:r>
      <w:r w:rsidR="00292CE7">
        <w:t>807</w:t>
      </w:r>
      <w:r w:rsidRPr="00477D6D">
        <w:t xml:space="preserve">, </w:t>
      </w:r>
      <w:r w:rsidRPr="00477D6D">
        <w:rPr>
          <w:i/>
        </w:rPr>
        <w:t>p</w:t>
      </w:r>
      <w:r w:rsidRPr="00477D6D">
        <w:t xml:space="preserve"> &lt; .001</w:t>
      </w:r>
      <w:r>
        <w:t xml:space="preserve">, </w:t>
      </w:r>
      <w:r w:rsidRPr="00BB7751">
        <w:t>η²</w:t>
      </w:r>
      <w:r>
        <w:rPr>
          <w:i/>
        </w:rPr>
        <w:t xml:space="preserve"> </w:t>
      </w:r>
      <w:r>
        <w:t>= .</w:t>
      </w:r>
      <w:r w:rsidR="00292CE7">
        <w:t xml:space="preserve">55) and </w:t>
      </w:r>
      <w:r>
        <w:t xml:space="preserve">task variant </w:t>
      </w:r>
      <w:r w:rsidR="00292CE7">
        <w:t>(F [2, 75</w:t>
      </w:r>
      <w:r w:rsidR="00292CE7" w:rsidRPr="00477D6D">
        <w:t xml:space="preserve">] = </w:t>
      </w:r>
      <w:r w:rsidR="00292CE7">
        <w:t>1463.407</w:t>
      </w:r>
      <w:r w:rsidR="00292CE7" w:rsidRPr="00477D6D">
        <w:t xml:space="preserve">, </w:t>
      </w:r>
      <w:r w:rsidR="00292CE7" w:rsidRPr="00477D6D">
        <w:rPr>
          <w:i/>
        </w:rPr>
        <w:t>p</w:t>
      </w:r>
      <w:r w:rsidR="00292CE7" w:rsidRPr="00477D6D">
        <w:t xml:space="preserve"> &lt; .001</w:t>
      </w:r>
      <w:r w:rsidR="00292CE7">
        <w:t xml:space="preserve">, </w:t>
      </w:r>
      <w:r w:rsidR="00292CE7" w:rsidRPr="00BB7751">
        <w:t>η²</w:t>
      </w:r>
      <w:r w:rsidR="00292CE7">
        <w:rPr>
          <w:i/>
        </w:rPr>
        <w:t xml:space="preserve"> </w:t>
      </w:r>
      <w:r w:rsidR="00292CE7">
        <w:t>= .975</w:t>
      </w:r>
      <w:r w:rsidR="00292CE7" w:rsidRPr="00477D6D">
        <w:t>)</w:t>
      </w:r>
      <w:r w:rsidR="00292CE7">
        <w:t xml:space="preserve">. There was no evidence of an interaction </w:t>
      </w:r>
      <w:r>
        <w:t>(</w:t>
      </w:r>
      <w:r>
        <w:rPr>
          <w:i/>
        </w:rPr>
        <w:t>p</w:t>
      </w:r>
      <w:r w:rsidR="00292CE7">
        <w:t xml:space="preserve"> =</w:t>
      </w:r>
      <w:r>
        <w:t xml:space="preserve"> 0.0</w:t>
      </w:r>
      <w:r w:rsidR="00292CE7">
        <w:t>71</w:t>
      </w:r>
      <w:r>
        <w:t xml:space="preserve">). </w:t>
      </w:r>
      <w:r w:rsidR="004A2594">
        <w:t>Again, w</w:t>
      </w:r>
      <w:r>
        <w:t xml:space="preserve">e used </w:t>
      </w:r>
      <w:r w:rsidR="005051BE">
        <w:t xml:space="preserve">simple </w:t>
      </w:r>
      <w:r>
        <w:t xml:space="preserve">linear regression to assess the relationship between sub-block number and </w:t>
      </w:r>
      <w:r w:rsidR="00292CE7">
        <w:t>No-</w:t>
      </w:r>
      <w:r>
        <w:t xml:space="preserve">Go </w:t>
      </w:r>
      <w:r w:rsidR="00292CE7">
        <w:t xml:space="preserve">accuracy </w:t>
      </w:r>
      <w:r>
        <w:t>in each group, and found good evidence for a relationship in each case (non-game: R</w:t>
      </w:r>
      <w:r>
        <w:rPr>
          <w:vertAlign w:val="superscript"/>
        </w:rPr>
        <w:t>2</w:t>
      </w:r>
      <w:r>
        <w:t xml:space="preserve"> </w:t>
      </w:r>
      <w:r w:rsidR="00244B4E">
        <w:t>= .16</w:t>
      </w:r>
      <w:r>
        <w:t xml:space="preserve">, F[1, 48] = </w:t>
      </w:r>
      <w:r w:rsidR="002D31EA">
        <w:t>9.361</w:t>
      </w:r>
      <w:r>
        <w:t xml:space="preserve">, </w:t>
      </w:r>
      <w:r w:rsidRPr="00477D6D">
        <w:rPr>
          <w:i/>
        </w:rPr>
        <w:t>p</w:t>
      </w:r>
      <w:r w:rsidR="002D31EA">
        <w:t xml:space="preserve"> = .004</w:t>
      </w:r>
      <w:r>
        <w:t>; points: R</w:t>
      </w:r>
      <w:r>
        <w:rPr>
          <w:vertAlign w:val="superscript"/>
        </w:rPr>
        <w:t>2</w:t>
      </w:r>
      <w:r>
        <w:t xml:space="preserve"> = .</w:t>
      </w:r>
      <w:r w:rsidR="00244B4E">
        <w:t>25</w:t>
      </w:r>
      <w:r>
        <w:t>, F[1, 48] = 1</w:t>
      </w:r>
      <w:r w:rsidR="002D31EA">
        <w:t>6</w:t>
      </w:r>
      <w:r>
        <w:t>.</w:t>
      </w:r>
      <w:r w:rsidR="002D31EA">
        <w:t>175</w:t>
      </w:r>
      <w:r>
        <w:t xml:space="preserve">, </w:t>
      </w:r>
      <w:r w:rsidRPr="00477D6D">
        <w:rPr>
          <w:i/>
        </w:rPr>
        <w:t>p</w:t>
      </w:r>
      <w:r w:rsidRPr="00477D6D">
        <w:t xml:space="preserve"> &lt; .001</w:t>
      </w:r>
      <w:r>
        <w:t>; theme: R</w:t>
      </w:r>
      <w:r>
        <w:rPr>
          <w:vertAlign w:val="superscript"/>
        </w:rPr>
        <w:t>2</w:t>
      </w:r>
      <w:r>
        <w:t xml:space="preserve"> =</w:t>
      </w:r>
      <w:r w:rsidR="00244B4E">
        <w:t xml:space="preserve"> .33</w:t>
      </w:r>
      <w:r>
        <w:t xml:space="preserve">, F[1, 48] = </w:t>
      </w:r>
      <w:r w:rsidR="002D31EA">
        <w:t>23</w:t>
      </w:r>
      <w:r>
        <w:t>.</w:t>
      </w:r>
      <w:r w:rsidR="002D31EA">
        <w:t>473</w:t>
      </w:r>
      <w:r>
        <w:t xml:space="preserve">, </w:t>
      </w:r>
      <w:r w:rsidRPr="00477D6D">
        <w:rPr>
          <w:i/>
        </w:rPr>
        <w:t>p</w:t>
      </w:r>
      <w:r w:rsidRPr="00477D6D">
        <w:t xml:space="preserve"> &lt; .001</w:t>
      </w:r>
      <w:r>
        <w:t xml:space="preserve">). We plotted the data and regression lines, </w:t>
      </w:r>
      <w:r w:rsidR="005051BE">
        <w:t>see Figure 2</w:t>
      </w:r>
      <w:r w:rsidR="00644F98">
        <w:t xml:space="preserve">, and </w:t>
      </w:r>
      <w:r>
        <w:t>ca</w:t>
      </w:r>
      <w:r w:rsidR="00C62904">
        <w:t>lculated the modelled change in No-Go accuracy</w:t>
      </w:r>
      <w:r>
        <w:t xml:space="preserve"> from the first sub-block to the final sub-block</w:t>
      </w:r>
      <w:r w:rsidR="005051BE">
        <w:t>, see Table 2</w:t>
      </w:r>
      <w:r>
        <w:t>.</w:t>
      </w:r>
    </w:p>
    <w:p w14:paraId="605BA470" w14:textId="1C8EA7D5" w:rsidR="005D31F7" w:rsidRDefault="00A65FBA" w:rsidP="005051BE">
      <w:pPr>
        <w:spacing w:after="0"/>
      </w:pPr>
      <w:r>
        <w:rPr>
          <w:noProof/>
          <w:lang w:eastAsia="en-GB"/>
        </w:rPr>
        <w:drawing>
          <wp:inline distT="0" distB="0" distL="0" distR="0" wp14:anchorId="4FD2F024" wp14:editId="3ABD6842">
            <wp:extent cx="5051702" cy="36756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1702" cy="3675600"/>
                    </a:xfrm>
                    <a:prstGeom prst="rect">
                      <a:avLst/>
                    </a:prstGeom>
                    <a:noFill/>
                  </pic:spPr>
                </pic:pic>
              </a:graphicData>
            </a:graphic>
          </wp:inline>
        </w:drawing>
      </w:r>
    </w:p>
    <w:p w14:paraId="6A9A6AD9" w14:textId="010EBAC0" w:rsidR="005051BE" w:rsidRDefault="005051BE" w:rsidP="005051BE">
      <w:pPr>
        <w:autoSpaceDE w:val="0"/>
        <w:autoSpaceDN w:val="0"/>
        <w:adjustRightInd w:val="0"/>
        <w:spacing w:after="0" w:line="240" w:lineRule="auto"/>
      </w:pPr>
      <w:r>
        <w:rPr>
          <w:b/>
        </w:rPr>
        <w:t>Figure 2</w:t>
      </w:r>
      <w:r w:rsidRPr="00FA7CAA">
        <w:rPr>
          <w:b/>
        </w:rPr>
        <w:t xml:space="preserve">: </w:t>
      </w:r>
      <w:r>
        <w:t xml:space="preserve">No-Go accuracy plotted against sub-block number </w:t>
      </w:r>
    </w:p>
    <w:p w14:paraId="2C473DE0" w14:textId="77777777" w:rsidR="00A41D3B" w:rsidRDefault="00A41D3B" w:rsidP="005051BE">
      <w:pPr>
        <w:autoSpaceDE w:val="0"/>
        <w:autoSpaceDN w:val="0"/>
        <w:adjustRightInd w:val="0"/>
        <w:spacing w:after="0" w:line="240" w:lineRule="auto"/>
      </w:pPr>
    </w:p>
    <w:tbl>
      <w:tblPr>
        <w:tblStyle w:val="TableGrid"/>
        <w:tblW w:w="7366" w:type="dxa"/>
        <w:tblLook w:val="04A0" w:firstRow="1" w:lastRow="0" w:firstColumn="1" w:lastColumn="0" w:noHBand="0" w:noVBand="1"/>
      </w:tblPr>
      <w:tblGrid>
        <w:gridCol w:w="1703"/>
        <w:gridCol w:w="1270"/>
        <w:gridCol w:w="1283"/>
        <w:gridCol w:w="3110"/>
      </w:tblGrid>
      <w:tr w:rsidR="00A41D3B" w:rsidRPr="00A41D3B" w14:paraId="053E1047" w14:textId="77777777" w:rsidTr="006A7B50">
        <w:trPr>
          <w:trHeight w:val="300"/>
        </w:trPr>
        <w:tc>
          <w:tcPr>
            <w:tcW w:w="1703" w:type="dxa"/>
            <w:noWrap/>
            <w:hideMark/>
          </w:tcPr>
          <w:p w14:paraId="3C5064B9" w14:textId="77777777" w:rsidR="00A41D3B" w:rsidRPr="000C6B38" w:rsidRDefault="00A41D3B" w:rsidP="0047620B">
            <w:pPr>
              <w:rPr>
                <w:b/>
              </w:rPr>
            </w:pPr>
            <w:r w:rsidRPr="00A41D3B">
              <w:rPr>
                <w:b/>
              </w:rPr>
              <w:t>Task Variant</w:t>
            </w:r>
          </w:p>
        </w:tc>
        <w:tc>
          <w:tcPr>
            <w:tcW w:w="1270" w:type="dxa"/>
            <w:noWrap/>
            <w:hideMark/>
          </w:tcPr>
          <w:p w14:paraId="7334ED7D" w14:textId="77777777" w:rsidR="00A41D3B" w:rsidRPr="000C6B38" w:rsidRDefault="00A41D3B" w:rsidP="0047620B">
            <w:pPr>
              <w:rPr>
                <w:b/>
                <w:color w:val="000000"/>
              </w:rPr>
            </w:pPr>
            <w:r w:rsidRPr="00A41D3B">
              <w:rPr>
                <w:b/>
                <w:color w:val="000000"/>
              </w:rPr>
              <w:t>Gradient</w:t>
            </w:r>
          </w:p>
        </w:tc>
        <w:tc>
          <w:tcPr>
            <w:tcW w:w="1283" w:type="dxa"/>
            <w:noWrap/>
            <w:hideMark/>
          </w:tcPr>
          <w:p w14:paraId="5087BDE9" w14:textId="77777777" w:rsidR="00A41D3B" w:rsidRPr="000C6B38" w:rsidRDefault="00A41D3B" w:rsidP="0047620B">
            <w:pPr>
              <w:rPr>
                <w:b/>
                <w:color w:val="000000"/>
              </w:rPr>
            </w:pPr>
            <w:r w:rsidRPr="00A41D3B">
              <w:rPr>
                <w:b/>
                <w:color w:val="000000"/>
              </w:rPr>
              <w:t>Intercept</w:t>
            </w:r>
          </w:p>
        </w:tc>
        <w:tc>
          <w:tcPr>
            <w:tcW w:w="3110" w:type="dxa"/>
            <w:noWrap/>
            <w:hideMark/>
          </w:tcPr>
          <w:p w14:paraId="028D63E6" w14:textId="73D17AB0" w:rsidR="00A41D3B" w:rsidRPr="000C6B38" w:rsidRDefault="00A41D3B" w:rsidP="00A41D3B">
            <w:pPr>
              <w:rPr>
                <w:b/>
                <w:color w:val="000000"/>
              </w:rPr>
            </w:pPr>
            <w:r w:rsidRPr="00A41D3B">
              <w:rPr>
                <w:b/>
                <w:color w:val="000000"/>
              </w:rPr>
              <w:t xml:space="preserve">Change in modelled </w:t>
            </w:r>
            <w:r>
              <w:rPr>
                <w:b/>
                <w:color w:val="000000"/>
              </w:rPr>
              <w:t xml:space="preserve">No-Go accuracy </w:t>
            </w:r>
            <w:r w:rsidRPr="00A41D3B">
              <w:rPr>
                <w:b/>
                <w:color w:val="000000"/>
              </w:rPr>
              <w:t xml:space="preserve">over whole task </w:t>
            </w:r>
          </w:p>
        </w:tc>
      </w:tr>
      <w:tr w:rsidR="00A41D3B" w:rsidRPr="00A41D3B" w14:paraId="7663A219" w14:textId="77777777" w:rsidTr="006A7B50">
        <w:trPr>
          <w:trHeight w:val="300"/>
        </w:trPr>
        <w:tc>
          <w:tcPr>
            <w:tcW w:w="1703" w:type="dxa"/>
            <w:noWrap/>
            <w:hideMark/>
          </w:tcPr>
          <w:p w14:paraId="39031D3B" w14:textId="77777777" w:rsidR="00A41D3B" w:rsidRPr="000C6B38" w:rsidRDefault="00A41D3B" w:rsidP="00A41D3B">
            <w:pPr>
              <w:rPr>
                <w:color w:val="000000"/>
              </w:rPr>
            </w:pPr>
            <w:r w:rsidRPr="000C6B38">
              <w:rPr>
                <w:color w:val="000000"/>
              </w:rPr>
              <w:t>Non-game</w:t>
            </w:r>
          </w:p>
        </w:tc>
        <w:tc>
          <w:tcPr>
            <w:tcW w:w="1270" w:type="dxa"/>
            <w:noWrap/>
            <w:hideMark/>
          </w:tcPr>
          <w:p w14:paraId="47853C10" w14:textId="4A9D55E9" w:rsidR="00A41D3B" w:rsidRPr="000C6B38" w:rsidRDefault="00D6131F" w:rsidP="00A41D3B">
            <w:pPr>
              <w:jc w:val="right"/>
              <w:rPr>
                <w:color w:val="000000"/>
              </w:rPr>
            </w:pPr>
            <w:r>
              <w:rPr>
                <w:color w:val="000000"/>
              </w:rPr>
              <w:t>-0.</w:t>
            </w:r>
            <w:r w:rsidR="00A41D3B" w:rsidRPr="00A41D3B">
              <w:rPr>
                <w:color w:val="000000"/>
              </w:rPr>
              <w:t>13</w:t>
            </w:r>
            <w:r>
              <w:rPr>
                <w:color w:val="000000"/>
              </w:rPr>
              <w:t>%</w:t>
            </w:r>
          </w:p>
        </w:tc>
        <w:tc>
          <w:tcPr>
            <w:tcW w:w="1283" w:type="dxa"/>
            <w:noWrap/>
            <w:hideMark/>
          </w:tcPr>
          <w:p w14:paraId="5D5E01FC" w14:textId="41A95F83" w:rsidR="00A41D3B" w:rsidRPr="000C6B38" w:rsidRDefault="00A41D3B" w:rsidP="00D6131F">
            <w:pPr>
              <w:jc w:val="right"/>
              <w:rPr>
                <w:color w:val="000000"/>
              </w:rPr>
            </w:pPr>
            <w:r w:rsidRPr="00A41D3B">
              <w:rPr>
                <w:color w:val="000000"/>
              </w:rPr>
              <w:t>95</w:t>
            </w:r>
            <w:r w:rsidR="00D6131F">
              <w:rPr>
                <w:color w:val="000000"/>
              </w:rPr>
              <w:t>.</w:t>
            </w:r>
            <w:r w:rsidRPr="00A41D3B">
              <w:rPr>
                <w:color w:val="000000"/>
              </w:rPr>
              <w:t>79</w:t>
            </w:r>
            <w:r w:rsidR="00D6131F">
              <w:rPr>
                <w:color w:val="000000"/>
              </w:rPr>
              <w:t>%</w:t>
            </w:r>
          </w:p>
        </w:tc>
        <w:tc>
          <w:tcPr>
            <w:tcW w:w="3110" w:type="dxa"/>
            <w:noWrap/>
            <w:hideMark/>
          </w:tcPr>
          <w:p w14:paraId="7A7F0805" w14:textId="712E1208" w:rsidR="00A41D3B" w:rsidRPr="000C6B38" w:rsidRDefault="00A41D3B" w:rsidP="00A41D3B">
            <w:pPr>
              <w:jc w:val="right"/>
              <w:rPr>
                <w:color w:val="000000"/>
              </w:rPr>
            </w:pPr>
            <w:r w:rsidRPr="00A41D3B">
              <w:rPr>
                <w:color w:val="000000"/>
              </w:rPr>
              <w:t>3.12%</w:t>
            </w:r>
          </w:p>
        </w:tc>
      </w:tr>
      <w:tr w:rsidR="00A41D3B" w:rsidRPr="00A41D3B" w14:paraId="4B25D83A" w14:textId="77777777" w:rsidTr="006A7B50">
        <w:trPr>
          <w:trHeight w:val="300"/>
        </w:trPr>
        <w:tc>
          <w:tcPr>
            <w:tcW w:w="1703" w:type="dxa"/>
            <w:noWrap/>
            <w:hideMark/>
          </w:tcPr>
          <w:p w14:paraId="674E83B4" w14:textId="77777777" w:rsidR="00A41D3B" w:rsidRPr="000C6B38" w:rsidRDefault="00A41D3B" w:rsidP="00A41D3B">
            <w:pPr>
              <w:rPr>
                <w:color w:val="000000"/>
              </w:rPr>
            </w:pPr>
            <w:r w:rsidRPr="000C6B38">
              <w:rPr>
                <w:color w:val="000000"/>
              </w:rPr>
              <w:t>Points</w:t>
            </w:r>
          </w:p>
        </w:tc>
        <w:tc>
          <w:tcPr>
            <w:tcW w:w="1270" w:type="dxa"/>
            <w:noWrap/>
            <w:hideMark/>
          </w:tcPr>
          <w:p w14:paraId="4A1F7C83" w14:textId="10F59980" w:rsidR="00A41D3B" w:rsidRPr="000C6B38" w:rsidRDefault="00D6131F" w:rsidP="00A41D3B">
            <w:pPr>
              <w:jc w:val="right"/>
              <w:rPr>
                <w:color w:val="000000"/>
              </w:rPr>
            </w:pPr>
            <w:r>
              <w:rPr>
                <w:color w:val="000000"/>
              </w:rPr>
              <w:t>-0.</w:t>
            </w:r>
            <w:r w:rsidR="00A41D3B" w:rsidRPr="00A41D3B">
              <w:rPr>
                <w:color w:val="000000"/>
              </w:rPr>
              <w:t>21</w:t>
            </w:r>
            <w:r>
              <w:rPr>
                <w:color w:val="000000"/>
              </w:rPr>
              <w:t>%</w:t>
            </w:r>
          </w:p>
        </w:tc>
        <w:tc>
          <w:tcPr>
            <w:tcW w:w="1283" w:type="dxa"/>
            <w:noWrap/>
            <w:hideMark/>
          </w:tcPr>
          <w:p w14:paraId="34F88B8D" w14:textId="19C1E9C0" w:rsidR="00A41D3B" w:rsidRPr="000C6B38" w:rsidRDefault="00A41D3B" w:rsidP="00A41D3B">
            <w:pPr>
              <w:jc w:val="right"/>
              <w:rPr>
                <w:color w:val="000000"/>
              </w:rPr>
            </w:pPr>
            <w:r w:rsidRPr="00A41D3B">
              <w:rPr>
                <w:color w:val="000000"/>
              </w:rPr>
              <w:t>96</w:t>
            </w:r>
            <w:r w:rsidR="00D6131F">
              <w:rPr>
                <w:color w:val="000000"/>
              </w:rPr>
              <w:t>.</w:t>
            </w:r>
            <w:r w:rsidRPr="00A41D3B">
              <w:rPr>
                <w:color w:val="000000"/>
              </w:rPr>
              <w:t>72</w:t>
            </w:r>
            <w:r w:rsidR="00D6131F">
              <w:rPr>
                <w:color w:val="000000"/>
              </w:rPr>
              <w:t>%</w:t>
            </w:r>
          </w:p>
        </w:tc>
        <w:tc>
          <w:tcPr>
            <w:tcW w:w="3110" w:type="dxa"/>
            <w:noWrap/>
            <w:hideMark/>
          </w:tcPr>
          <w:p w14:paraId="3E0E7185" w14:textId="5719C5C0" w:rsidR="00A41D3B" w:rsidRPr="000C6B38" w:rsidRDefault="00A41D3B" w:rsidP="00A41D3B">
            <w:pPr>
              <w:jc w:val="right"/>
              <w:rPr>
                <w:color w:val="000000"/>
              </w:rPr>
            </w:pPr>
            <w:r w:rsidRPr="00A41D3B">
              <w:rPr>
                <w:color w:val="000000"/>
              </w:rPr>
              <w:t>5.04%</w:t>
            </w:r>
          </w:p>
        </w:tc>
      </w:tr>
      <w:tr w:rsidR="00A41D3B" w:rsidRPr="00A41D3B" w14:paraId="597C6233" w14:textId="77777777" w:rsidTr="006A7B50">
        <w:trPr>
          <w:trHeight w:val="300"/>
        </w:trPr>
        <w:tc>
          <w:tcPr>
            <w:tcW w:w="1703" w:type="dxa"/>
            <w:noWrap/>
            <w:hideMark/>
          </w:tcPr>
          <w:p w14:paraId="05E50BE8" w14:textId="77777777" w:rsidR="00A41D3B" w:rsidRPr="000C6B38" w:rsidRDefault="00A41D3B" w:rsidP="00A41D3B">
            <w:pPr>
              <w:rPr>
                <w:color w:val="000000"/>
              </w:rPr>
            </w:pPr>
            <w:r w:rsidRPr="000C6B38">
              <w:rPr>
                <w:color w:val="000000"/>
              </w:rPr>
              <w:t>Theme</w:t>
            </w:r>
          </w:p>
        </w:tc>
        <w:tc>
          <w:tcPr>
            <w:tcW w:w="1270" w:type="dxa"/>
            <w:noWrap/>
            <w:hideMark/>
          </w:tcPr>
          <w:p w14:paraId="3F0666CC" w14:textId="390E6C69" w:rsidR="00A41D3B" w:rsidRPr="000C6B38" w:rsidRDefault="00D6131F" w:rsidP="00A41D3B">
            <w:pPr>
              <w:jc w:val="right"/>
              <w:rPr>
                <w:color w:val="000000"/>
              </w:rPr>
            </w:pPr>
            <w:r>
              <w:rPr>
                <w:color w:val="000000"/>
              </w:rPr>
              <w:t>-0.</w:t>
            </w:r>
            <w:r w:rsidR="00A41D3B" w:rsidRPr="00A41D3B">
              <w:rPr>
                <w:color w:val="000000"/>
              </w:rPr>
              <w:t>42</w:t>
            </w:r>
            <w:r>
              <w:rPr>
                <w:color w:val="000000"/>
              </w:rPr>
              <w:t>%</w:t>
            </w:r>
          </w:p>
        </w:tc>
        <w:tc>
          <w:tcPr>
            <w:tcW w:w="1283" w:type="dxa"/>
            <w:noWrap/>
            <w:hideMark/>
          </w:tcPr>
          <w:p w14:paraId="73A27DB1" w14:textId="3F313754" w:rsidR="00A41D3B" w:rsidRPr="000C6B38" w:rsidRDefault="00A41D3B" w:rsidP="00A41D3B">
            <w:pPr>
              <w:jc w:val="right"/>
              <w:rPr>
                <w:color w:val="000000"/>
              </w:rPr>
            </w:pPr>
            <w:r w:rsidRPr="00A41D3B">
              <w:rPr>
                <w:color w:val="000000"/>
              </w:rPr>
              <w:t>71</w:t>
            </w:r>
            <w:r w:rsidR="00D6131F">
              <w:rPr>
                <w:color w:val="000000"/>
              </w:rPr>
              <w:t>.</w:t>
            </w:r>
            <w:r w:rsidRPr="00A41D3B">
              <w:rPr>
                <w:color w:val="000000"/>
              </w:rPr>
              <w:t>5</w:t>
            </w:r>
            <w:r w:rsidR="00D6131F">
              <w:rPr>
                <w:color w:val="000000"/>
              </w:rPr>
              <w:t>0%</w:t>
            </w:r>
          </w:p>
        </w:tc>
        <w:tc>
          <w:tcPr>
            <w:tcW w:w="3110" w:type="dxa"/>
            <w:noWrap/>
            <w:hideMark/>
          </w:tcPr>
          <w:p w14:paraId="3BBCEA7C" w14:textId="0A5B101C" w:rsidR="00A41D3B" w:rsidRPr="000C6B38" w:rsidRDefault="00A41D3B" w:rsidP="00A41D3B">
            <w:pPr>
              <w:jc w:val="right"/>
              <w:rPr>
                <w:color w:val="000000"/>
              </w:rPr>
            </w:pPr>
            <w:r w:rsidRPr="00A41D3B">
              <w:rPr>
                <w:color w:val="000000"/>
              </w:rPr>
              <w:t>10.08%</w:t>
            </w:r>
          </w:p>
        </w:tc>
      </w:tr>
    </w:tbl>
    <w:p w14:paraId="30F3AC3F" w14:textId="052324B2" w:rsidR="006A7B50" w:rsidRDefault="006A7B50" w:rsidP="006A7B50">
      <w:r>
        <w:rPr>
          <w:b/>
        </w:rPr>
        <w:t>Table 2</w:t>
      </w:r>
      <w:r w:rsidRPr="000C6B38">
        <w:rPr>
          <w:b/>
        </w:rPr>
        <w:t>:</w:t>
      </w:r>
      <w:r>
        <w:rPr>
          <w:b/>
        </w:rPr>
        <w:t xml:space="preserve"> </w:t>
      </w:r>
      <w:r>
        <w:t xml:space="preserve">Regression equations for each task variant, linking Sub-block number to No-Go accuracy. </w:t>
      </w:r>
    </w:p>
    <w:p w14:paraId="441D8A53" w14:textId="77777777" w:rsidR="00A41D3B" w:rsidRDefault="00A41D3B" w:rsidP="005051BE">
      <w:pPr>
        <w:autoSpaceDE w:val="0"/>
        <w:autoSpaceDN w:val="0"/>
        <w:adjustRightInd w:val="0"/>
        <w:spacing w:after="0" w:line="240" w:lineRule="auto"/>
      </w:pPr>
    </w:p>
    <w:p w14:paraId="08136C5A" w14:textId="77777777" w:rsidR="005D31F7" w:rsidRDefault="005D31F7" w:rsidP="00E62000"/>
    <w:p w14:paraId="6ECDAF47" w14:textId="77777777" w:rsidR="005D31F7" w:rsidRDefault="005D31F7" w:rsidP="00E62000"/>
    <w:p w14:paraId="450A638B" w14:textId="77777777" w:rsidR="005D31F7" w:rsidRDefault="005D31F7" w:rsidP="00E62000"/>
    <w:p w14:paraId="2BD07143" w14:textId="59C39A98" w:rsidR="00A65FBA" w:rsidRDefault="00717D4E" w:rsidP="00613707">
      <w:pPr>
        <w:spacing w:after="0"/>
        <w:rPr>
          <w:rStyle w:val="Heading3Char"/>
          <w:rFonts w:eastAsiaTheme="minorHAnsi"/>
        </w:rPr>
      </w:pPr>
      <w:r>
        <w:rPr>
          <w:rStyle w:val="Heading3Char"/>
          <w:rFonts w:eastAsiaTheme="minorHAnsi"/>
        </w:rPr>
        <w:lastRenderedPageBreak/>
        <w:t>Discussion:</w:t>
      </w:r>
    </w:p>
    <w:p w14:paraId="400EA21E" w14:textId="4D982E78" w:rsidR="00717D4E" w:rsidRDefault="00BB0792" w:rsidP="00E62000">
      <w:pPr>
        <w:rPr>
          <w:rStyle w:val="Heading3Char"/>
          <w:rFonts w:eastAsiaTheme="minorHAnsi"/>
          <w:b w:val="0"/>
        </w:rPr>
      </w:pPr>
      <w:r>
        <w:rPr>
          <w:rStyle w:val="Heading3Char"/>
          <w:rFonts w:eastAsiaTheme="minorHAnsi"/>
          <w:b w:val="0"/>
        </w:rPr>
        <w:t xml:space="preserve">Contrary to expectations, RTs did not get longer as the task went on. We anticipated that boredom might cause participants to become inattentive and therefore respond more slowly, however we found </w:t>
      </w:r>
      <w:r w:rsidR="00613707">
        <w:rPr>
          <w:rStyle w:val="Heading3Char"/>
          <w:rFonts w:eastAsiaTheme="minorHAnsi"/>
          <w:b w:val="0"/>
        </w:rPr>
        <w:t xml:space="preserve">strong </w:t>
      </w:r>
      <w:r>
        <w:rPr>
          <w:rStyle w:val="Heading3Char"/>
          <w:rFonts w:eastAsiaTheme="minorHAnsi"/>
          <w:b w:val="0"/>
        </w:rPr>
        <w:t xml:space="preserve">evidence of an opposite effect, with RT speeding up over the course of the task. We also saw no impact of task variant, implying that this speed up was not related to engagement or enjoyment of the task. One explanation for the effect might be that the as the task </w:t>
      </w:r>
      <w:r w:rsidR="005A396F">
        <w:rPr>
          <w:rStyle w:val="Heading3Char"/>
          <w:rFonts w:eastAsiaTheme="minorHAnsi"/>
          <w:b w:val="0"/>
        </w:rPr>
        <w:t>progressed,</w:t>
      </w:r>
      <w:r>
        <w:rPr>
          <w:rStyle w:val="Heading3Char"/>
          <w:rFonts w:eastAsiaTheme="minorHAnsi"/>
          <w:b w:val="0"/>
        </w:rPr>
        <w:t xml:space="preserve"> the stimuli became more familiar and could be responded to faster, i.e. learning was occurring</w:t>
      </w:r>
      <w:r w:rsidR="00BD362B">
        <w:rPr>
          <w:rStyle w:val="Heading3Char"/>
          <w:rFonts w:eastAsiaTheme="minorHAnsi"/>
          <w:b w:val="0"/>
        </w:rPr>
        <w:t xml:space="preserve"> </w:t>
      </w:r>
      <w:r w:rsidR="007C1392">
        <w:rPr>
          <w:rStyle w:val="Heading3Char"/>
          <w:rFonts w:eastAsiaTheme="minorHAnsi"/>
          <w:b w:val="0"/>
        </w:rPr>
        <w:fldChar w:fldCharType="begin"/>
      </w:r>
      <w:r w:rsidR="007C1392">
        <w:rPr>
          <w:rStyle w:val="Heading3Char"/>
          <w:rFonts w:eastAsiaTheme="minorHAnsi"/>
          <w:b w:val="0"/>
        </w:rPr>
        <w:instrText xml:space="preserve"> ADDIN ZOTERO_ITEM CSL_CITATION {"citationID":"2an1osa8ve","properties":{"formattedCitation":"(Verbruggen &amp; Logan, 2008)","plainCitation":"(Verbruggen &amp; Logan, 2008)"},"citationItems":[{"id":769,"uris":["http://zotero.org/users/1711356/items/GUA4GMUX"],"uri":["http://zotero.org/users/1711356/items/GUA4GMUX"],"itemData":{"id":769,"type":"article-journal","title":"Automatic and controlled response inhibition: Associative learning in the go/no-go and stop-signal paradigms","container-title":"Journal of Experimental Psychology: General","page":"649-672","volume":"137","issue":"4","source":"APA PsycNET","abstract":"In 5 experiments, the authors examined the development of automatic response inhibition in the go/no-go paradigm and a modified version of the stop-signal paradigm. They hypothesized that automatic response inhibition may develop over practice when stimuli are consistently associated with stopping. All 5 experiments consisted of a training phase and a test phase in which the stimulus mapping was reversed for a subset of the stimuli. Consistent with the automatic-inhibition hypothesis, the authors found that responding in the test phase was slowed when the stimulus had been consistently associated with stopping in the training phase. In addition, they found that response inhibition benefited from consistent stimulus-stop associations. These findings suggest that response inhibition may rely on the retrieval of stimulus-stop associations after practice with consistent stimulus-stop mappings. Stimulus-stop mapping is typically consistent in the go/no-go paradigm, so automatic inhibition is likely to occur. However, stimulus-stop mapping is typically inconsistent in the stop-signal paradigm, so automatic inhibition is unlikely to occur. Thus, the results suggest that the two paradigms are not equivalent because they allow different kinds of response inhibition.","DOI":"10.1037/a0013170","ISSN":"1939-2222(Electronic);0096-3445(Print)","shortTitle":"Automatic and controlled response inhibition","author":[{"family":"Verbruggen","given":"Frederick"},{"family":"Logan","given":"Gordon D."}],"issued":{"date-parts":[["2008"]]}}}],"schema":"https://github.com/citation-style-language/schema/raw/master/csl-citation.json"} </w:instrText>
      </w:r>
      <w:r w:rsidR="007C1392">
        <w:rPr>
          <w:rStyle w:val="Heading3Char"/>
          <w:rFonts w:eastAsiaTheme="minorHAnsi"/>
          <w:b w:val="0"/>
        </w:rPr>
        <w:fldChar w:fldCharType="separate"/>
      </w:r>
      <w:r w:rsidR="007C1392" w:rsidRPr="007C1392">
        <w:t>(Verbruggen &amp; Logan, 2008)</w:t>
      </w:r>
      <w:r w:rsidR="007C1392">
        <w:rPr>
          <w:rStyle w:val="Heading3Char"/>
          <w:rFonts w:eastAsiaTheme="minorHAnsi"/>
          <w:b w:val="0"/>
        </w:rPr>
        <w:fldChar w:fldCharType="end"/>
      </w:r>
      <w:r>
        <w:rPr>
          <w:rStyle w:val="Heading3Char"/>
          <w:rFonts w:eastAsiaTheme="minorHAnsi"/>
          <w:b w:val="0"/>
        </w:rPr>
        <w:t>.</w:t>
      </w:r>
      <w:r w:rsidR="00F15197">
        <w:rPr>
          <w:rStyle w:val="Heading3Char"/>
          <w:rFonts w:eastAsiaTheme="minorHAnsi"/>
          <w:b w:val="0"/>
        </w:rPr>
        <w:t xml:space="preserve"> Another possible explanation is that participants grew bored in all task variants, and simply responded more </w:t>
      </w:r>
      <w:r w:rsidR="00611976">
        <w:rPr>
          <w:rStyle w:val="Heading3Char"/>
          <w:rFonts w:eastAsiaTheme="minorHAnsi"/>
          <w:b w:val="0"/>
        </w:rPr>
        <w:t xml:space="preserve">rapidly </w:t>
      </w:r>
      <w:r w:rsidR="00F15197">
        <w:rPr>
          <w:rStyle w:val="Heading3Char"/>
          <w:rFonts w:eastAsiaTheme="minorHAnsi"/>
          <w:b w:val="0"/>
        </w:rPr>
        <w:t xml:space="preserve">in order to “get the task over with”. </w:t>
      </w:r>
      <w:r w:rsidR="00996340">
        <w:rPr>
          <w:rStyle w:val="Heading3Char"/>
          <w:rFonts w:eastAsiaTheme="minorHAnsi"/>
          <w:b w:val="0"/>
        </w:rPr>
        <w:br/>
      </w:r>
      <w:r w:rsidR="00996340">
        <w:rPr>
          <w:rStyle w:val="Heading3Char"/>
          <w:rFonts w:eastAsiaTheme="minorHAnsi"/>
          <w:b w:val="0"/>
        </w:rPr>
        <w:tab/>
        <w:t xml:space="preserve">No-Go accuracy showed a similar pattern, with accuracy decreasing as the task progressed. </w:t>
      </w:r>
      <w:r w:rsidR="00943710">
        <w:rPr>
          <w:rStyle w:val="Heading3Char"/>
          <w:rFonts w:eastAsiaTheme="minorHAnsi"/>
          <w:b w:val="0"/>
        </w:rPr>
        <w:t>However t</w:t>
      </w:r>
      <w:r w:rsidR="00996340">
        <w:rPr>
          <w:rStyle w:val="Heading3Char"/>
          <w:rFonts w:eastAsiaTheme="minorHAnsi"/>
          <w:b w:val="0"/>
        </w:rPr>
        <w:t xml:space="preserve">his was in line with our hypotheses, and it is possible that the decrease in No-Go accuracy was the result of participant boredom. </w:t>
      </w:r>
      <w:r w:rsidR="00943710">
        <w:rPr>
          <w:rStyle w:val="Heading3Char"/>
          <w:rFonts w:eastAsiaTheme="minorHAnsi"/>
          <w:b w:val="0"/>
        </w:rPr>
        <w:t xml:space="preserve"> W</w:t>
      </w:r>
      <w:r w:rsidR="00996340">
        <w:rPr>
          <w:rStyle w:val="Heading3Char"/>
          <w:rFonts w:eastAsiaTheme="minorHAnsi"/>
          <w:b w:val="0"/>
        </w:rPr>
        <w:t xml:space="preserve">e saw little evidence for an interaction between task variant and sub-block number, </w:t>
      </w:r>
      <w:r w:rsidR="00943710">
        <w:rPr>
          <w:rStyle w:val="Heading3Char"/>
          <w:rFonts w:eastAsiaTheme="minorHAnsi"/>
          <w:b w:val="0"/>
        </w:rPr>
        <w:t xml:space="preserve">although </w:t>
      </w:r>
      <w:r w:rsidR="00996340">
        <w:rPr>
          <w:rStyle w:val="Heading3Char"/>
          <w:rFonts w:eastAsiaTheme="minorHAnsi"/>
          <w:b w:val="0"/>
        </w:rPr>
        <w:t xml:space="preserve">the Theme variant </w:t>
      </w:r>
      <w:r w:rsidR="00485F2E">
        <w:rPr>
          <w:rStyle w:val="Heading3Char"/>
          <w:rFonts w:eastAsiaTheme="minorHAnsi"/>
          <w:b w:val="0"/>
        </w:rPr>
        <w:t>did show</w:t>
      </w:r>
      <w:r w:rsidR="00996340">
        <w:rPr>
          <w:rStyle w:val="Heading3Char"/>
          <w:rFonts w:eastAsiaTheme="minorHAnsi"/>
          <w:b w:val="0"/>
        </w:rPr>
        <w:t xml:space="preserve"> the largest change in accuracy from the be</w:t>
      </w:r>
      <w:r w:rsidR="005A396F">
        <w:rPr>
          <w:rStyle w:val="Heading3Char"/>
          <w:rFonts w:eastAsiaTheme="minorHAnsi"/>
          <w:b w:val="0"/>
        </w:rPr>
        <w:t>ginning to the end of the task; ruling</w:t>
      </w:r>
      <w:r w:rsidR="00996340">
        <w:rPr>
          <w:rStyle w:val="Heading3Char"/>
          <w:rFonts w:eastAsiaTheme="minorHAnsi"/>
          <w:b w:val="0"/>
        </w:rPr>
        <w:t xml:space="preserve"> out the idea that a more engaging task might alleviate the effect of boredom (if this was indeed a boredom effect).</w:t>
      </w:r>
      <w:r w:rsidR="00485F2E">
        <w:rPr>
          <w:rStyle w:val="Heading3Char"/>
          <w:rFonts w:eastAsiaTheme="minorHAnsi"/>
          <w:b w:val="0"/>
        </w:rPr>
        <w:t xml:space="preserve"> Accuracy change over time in the other two variants was quite small. </w:t>
      </w:r>
      <w:r w:rsidR="00485F2E">
        <w:rPr>
          <w:rStyle w:val="Heading3Char"/>
          <w:rFonts w:eastAsiaTheme="minorHAnsi"/>
          <w:b w:val="0"/>
        </w:rPr>
        <w:br/>
      </w:r>
      <w:r w:rsidR="00485F2E">
        <w:rPr>
          <w:rStyle w:val="Heading3Char"/>
          <w:rFonts w:eastAsiaTheme="minorHAnsi"/>
          <w:b w:val="0"/>
        </w:rPr>
        <w:tab/>
        <w:t xml:space="preserve">An alternative explanation for the decrease in No-Go accuracy over time is that the loss of accuracy was caused by the </w:t>
      </w:r>
      <w:r w:rsidR="00D96319">
        <w:rPr>
          <w:rStyle w:val="Heading3Char"/>
          <w:rFonts w:eastAsiaTheme="minorHAnsi"/>
          <w:b w:val="0"/>
        </w:rPr>
        <w:t xml:space="preserve">decrease </w:t>
      </w:r>
      <w:r w:rsidR="00B71150">
        <w:rPr>
          <w:rStyle w:val="Heading3Char"/>
          <w:rFonts w:eastAsiaTheme="minorHAnsi"/>
          <w:b w:val="0"/>
        </w:rPr>
        <w:t xml:space="preserve">in RTs, i.e. </w:t>
      </w:r>
      <w:r w:rsidR="00485F2E">
        <w:rPr>
          <w:rStyle w:val="Heading3Char"/>
          <w:rFonts w:eastAsiaTheme="minorHAnsi"/>
          <w:b w:val="0"/>
        </w:rPr>
        <w:t xml:space="preserve">a speed-accuracy trade-off </w:t>
      </w:r>
      <w:r w:rsidR="00494F21">
        <w:rPr>
          <w:rStyle w:val="Heading3Char"/>
          <w:rFonts w:eastAsiaTheme="minorHAnsi"/>
          <w:b w:val="0"/>
        </w:rPr>
        <w:fldChar w:fldCharType="begin"/>
      </w:r>
      <w:r w:rsidR="00494F21">
        <w:rPr>
          <w:rStyle w:val="Heading3Char"/>
          <w:rFonts w:eastAsiaTheme="minorHAnsi"/>
          <w:b w:val="0"/>
        </w:rPr>
        <w:instrText xml:space="preserve"> ADDIN ZOTERO_ITEM CSL_CITATION {"citationID":"omg8tojsj","properties":{"formattedCitation":"(Bogacz, 2013; Wickelgren, 1977)","plainCitation":"(Bogacz, 2013; Wickelgren, 1977)"},"citationItems":[{"id":478,"uris":["http://zotero.org/users/1711356/items/4DFFPI6I"],"uri":["http://zotero.org/users/1711356/items/4DFFPI6I"],"itemData":{"id":478,"type":"chapter","title":"Speed-Accuracy Trade-Off","container-title":"Encyclopedia of Computational Neuroscience","publisher":"Springer New York","page":"1-4","source":"link.springer.com","abstract":"DefinitionIn many decision tasks, humans and animals cannot simultaneously improve both speed and accuracy of choices (Wickelgren 1977). If subjects are required to be faster, they become less accurate, and conversely, when they are more accurate, they become slower. This inverse relationship between the speed and the accuracy of choices is known as the speed-accuracy trade-off (SAT).SAT Results from the Accumulation of Noisy InformationSAT is produced in many models of decision making, but to motivate these models, it is helpful to first briefly review a specific example of a task used for studying the neurobiology of perceptual decision making. Neural bases of decision making have been studied in a simple task in which a subject is presented with a stimulus consisting of dots moving left or right and on each trial has to make an eye movement in the direction of the movement of the majority of dots. A brain area critical for this task is a part of visual cortex specialized in motion p ...","URL":"http://link.springer.com/referenceworkentry/10.1007/978-1-4614-7320-6_319-1","ISBN":"978-1-4614-7320-6","note":"DOI: 10.1007/978-1-4614-7320-6_319-1","language":"en","author":[{"family":"Bogacz","given":"Dr Rafal"}],"editor":[{"family":"Jaeger","given":"Dieter"},{"family":"Jung","given":"Ranu"}],"issued":{"date-parts":[["2013"]]},"accessed":{"date-parts":[["2016",6,1]]}}},{"id":568,"uris":["http://zotero.org/users/1711356/items/Z444EIB6"],"uri":["http://zotero.org/users/1711356/items/Z444EIB6"],"itemData":{"id":568,"type":"article-journal","title":"Speed-accuracy tradeoff and information processing dynamics","container-title":"Acta Psychologica","page":"67-85","volume":"41","issue":"1","source":"ScienceDirect","abstract":"For a long time, it has been known that one can tradeoff accuracy for speed in (presumably) any task. The range over which one can obtain substantial speed-accuracy tradeoff varies from 150 msec in some very simple perceptual tasks to 1,000 msec in some recognition memory tasks and presumably even longer in more complex cognitive tasks. Obtaining an entire speed-accuracy tradeoff function provides much greater knowledge concerning information processing dynamics than is obtained by a reaction- time experiment, which yields the equivalent of a single point on this function. For this and other reasons, speed-accuracy tradeoff studies are often preferable to reaction-time studies of the dynamics of perceptual, memory, and cognitive processes. Methods of obtaining speed-accuracy tradeoff functions include: instructions, payoffs, deadlines, bands, response signals (with blocked and mixed designs), and partitioning of reaction time. A combination of the mixed-design signal method supplemented by partitioning of reaction times appears to be the optimal method.","DOI":"10.1016/0001-6918(77)90012-9","ISSN":"0001-6918","journalAbbreviation":"Acta Psychologica","author":[{"family":"Wickelgren","given":"Wayne A."}],"issued":{"date-parts":[["1977",2]]}}}],"schema":"https://github.com/citation-style-language/schema/raw/master/csl-citation.json"} </w:instrText>
      </w:r>
      <w:r w:rsidR="00494F21">
        <w:rPr>
          <w:rStyle w:val="Heading3Char"/>
          <w:rFonts w:eastAsiaTheme="minorHAnsi"/>
          <w:b w:val="0"/>
        </w:rPr>
        <w:fldChar w:fldCharType="separate"/>
      </w:r>
      <w:r w:rsidR="00494F21" w:rsidRPr="00494F21">
        <w:t>(Bogacz, 2013; Wickelgren, 1977)</w:t>
      </w:r>
      <w:r w:rsidR="00494F21">
        <w:rPr>
          <w:rStyle w:val="Heading3Char"/>
          <w:rFonts w:eastAsiaTheme="minorHAnsi"/>
          <w:b w:val="0"/>
        </w:rPr>
        <w:fldChar w:fldCharType="end"/>
      </w:r>
      <w:r w:rsidR="00B71150">
        <w:rPr>
          <w:rStyle w:val="Heading3Char"/>
          <w:rFonts w:eastAsiaTheme="minorHAnsi"/>
          <w:b w:val="0"/>
        </w:rPr>
        <w:t xml:space="preserve">. We </w:t>
      </w:r>
      <w:r w:rsidR="0029086A">
        <w:rPr>
          <w:rStyle w:val="Heading3Char"/>
          <w:rFonts w:eastAsiaTheme="minorHAnsi"/>
          <w:b w:val="0"/>
        </w:rPr>
        <w:t>calculate</w:t>
      </w:r>
      <w:r w:rsidR="00B71150">
        <w:rPr>
          <w:rStyle w:val="Heading3Char"/>
          <w:rFonts w:eastAsiaTheme="minorHAnsi"/>
          <w:b w:val="0"/>
        </w:rPr>
        <w:t>d</w:t>
      </w:r>
      <w:r w:rsidR="00485F2E">
        <w:rPr>
          <w:rStyle w:val="Heading3Char"/>
          <w:rFonts w:eastAsiaTheme="minorHAnsi"/>
          <w:b w:val="0"/>
        </w:rPr>
        <w:t xml:space="preserve"> three Pearson correlations </w:t>
      </w:r>
      <w:r w:rsidR="007F3A3C">
        <w:rPr>
          <w:rStyle w:val="Heading3Char"/>
          <w:rFonts w:eastAsiaTheme="minorHAnsi"/>
          <w:b w:val="0"/>
        </w:rPr>
        <w:t>between standard</w:t>
      </w:r>
      <w:r w:rsidR="00B71150">
        <w:rPr>
          <w:rStyle w:val="Heading3Char"/>
          <w:rFonts w:eastAsiaTheme="minorHAnsi"/>
          <w:b w:val="0"/>
        </w:rPr>
        <w:t>ised Go RT and No-Go a</w:t>
      </w:r>
      <w:r w:rsidR="007F3A3C">
        <w:rPr>
          <w:rStyle w:val="Heading3Char"/>
          <w:rFonts w:eastAsiaTheme="minorHAnsi"/>
          <w:b w:val="0"/>
        </w:rPr>
        <w:t xml:space="preserve">ccuracy in each sub-block, split by task variant (non-game: </w:t>
      </w:r>
      <w:r w:rsidR="007F3A3C">
        <w:rPr>
          <w:rStyle w:val="Heading3Char"/>
          <w:rFonts w:eastAsiaTheme="minorHAnsi"/>
          <w:b w:val="0"/>
          <w:i/>
        </w:rPr>
        <w:t>r</w:t>
      </w:r>
      <w:r w:rsidR="007F3A3C">
        <w:rPr>
          <w:rStyle w:val="Heading3Char"/>
          <w:rFonts w:eastAsiaTheme="minorHAnsi"/>
          <w:b w:val="0"/>
        </w:rPr>
        <w:t xml:space="preserve">(50) = .301, </w:t>
      </w:r>
      <w:r w:rsidR="007F3A3C">
        <w:rPr>
          <w:rStyle w:val="Heading3Char"/>
          <w:rFonts w:eastAsiaTheme="minorHAnsi"/>
          <w:b w:val="0"/>
          <w:i/>
        </w:rPr>
        <w:t>p</w:t>
      </w:r>
      <w:r w:rsidR="007F3A3C">
        <w:rPr>
          <w:rStyle w:val="Heading3Char"/>
          <w:rFonts w:eastAsiaTheme="minorHAnsi"/>
          <w:b w:val="0"/>
        </w:rPr>
        <w:t xml:space="preserve"> = .034 ; points: </w:t>
      </w:r>
      <w:r w:rsidR="007F3A3C">
        <w:rPr>
          <w:rStyle w:val="Heading3Char"/>
          <w:rFonts w:eastAsiaTheme="minorHAnsi"/>
          <w:b w:val="0"/>
          <w:i/>
        </w:rPr>
        <w:t>r</w:t>
      </w:r>
      <w:r w:rsidR="007F3A3C">
        <w:rPr>
          <w:rStyle w:val="Heading3Char"/>
          <w:rFonts w:eastAsiaTheme="minorHAnsi"/>
          <w:b w:val="0"/>
        </w:rPr>
        <w:t>(50) = .</w:t>
      </w:r>
      <w:r w:rsidR="006959C4">
        <w:rPr>
          <w:rStyle w:val="Heading3Char"/>
          <w:rFonts w:eastAsiaTheme="minorHAnsi"/>
          <w:b w:val="0"/>
        </w:rPr>
        <w:t>24</w:t>
      </w:r>
      <w:r w:rsidR="007F3A3C">
        <w:rPr>
          <w:rStyle w:val="Heading3Char"/>
          <w:rFonts w:eastAsiaTheme="minorHAnsi"/>
          <w:b w:val="0"/>
        </w:rPr>
        <w:t xml:space="preserve">, </w:t>
      </w:r>
      <w:r w:rsidR="007F3A3C">
        <w:rPr>
          <w:rStyle w:val="Heading3Char"/>
          <w:rFonts w:eastAsiaTheme="minorHAnsi"/>
          <w:b w:val="0"/>
          <w:i/>
        </w:rPr>
        <w:t>p</w:t>
      </w:r>
      <w:r w:rsidR="007F3A3C">
        <w:rPr>
          <w:rStyle w:val="Heading3Char"/>
          <w:rFonts w:eastAsiaTheme="minorHAnsi"/>
          <w:b w:val="0"/>
        </w:rPr>
        <w:t xml:space="preserve"> = </w:t>
      </w:r>
      <w:r w:rsidR="006959C4">
        <w:rPr>
          <w:rStyle w:val="Heading3Char"/>
          <w:rFonts w:eastAsiaTheme="minorHAnsi"/>
          <w:b w:val="0"/>
        </w:rPr>
        <w:t>.093</w:t>
      </w:r>
      <w:r w:rsidR="007F3A3C">
        <w:rPr>
          <w:rStyle w:val="Heading3Char"/>
          <w:rFonts w:eastAsiaTheme="minorHAnsi"/>
          <w:b w:val="0"/>
        </w:rPr>
        <w:t xml:space="preserve">; theme: </w:t>
      </w:r>
      <w:r w:rsidR="007F3A3C">
        <w:rPr>
          <w:rStyle w:val="Heading3Char"/>
          <w:rFonts w:eastAsiaTheme="minorHAnsi"/>
          <w:b w:val="0"/>
          <w:i/>
        </w:rPr>
        <w:t>r</w:t>
      </w:r>
      <w:r w:rsidR="006959C4">
        <w:rPr>
          <w:rStyle w:val="Heading3Char"/>
          <w:rFonts w:eastAsiaTheme="minorHAnsi"/>
          <w:b w:val="0"/>
        </w:rPr>
        <w:t>(50) = .582</w:t>
      </w:r>
      <w:r w:rsidR="007F3A3C">
        <w:rPr>
          <w:rStyle w:val="Heading3Char"/>
          <w:rFonts w:eastAsiaTheme="minorHAnsi"/>
          <w:b w:val="0"/>
        </w:rPr>
        <w:t xml:space="preserve">, </w:t>
      </w:r>
      <w:r w:rsidR="006959C4" w:rsidRPr="00477D6D">
        <w:rPr>
          <w:i/>
        </w:rPr>
        <w:t>p</w:t>
      </w:r>
      <w:r w:rsidR="006959C4" w:rsidRPr="00477D6D">
        <w:t xml:space="preserve"> &lt; .001</w:t>
      </w:r>
      <w:r w:rsidR="006959C4">
        <w:rPr>
          <w:rStyle w:val="Heading3Char"/>
          <w:rFonts w:eastAsiaTheme="minorHAnsi"/>
          <w:b w:val="0"/>
        </w:rPr>
        <w:t>)</w:t>
      </w:r>
      <w:r w:rsidR="0029086A">
        <w:rPr>
          <w:rStyle w:val="Heading3Char"/>
          <w:rFonts w:eastAsiaTheme="minorHAnsi"/>
          <w:b w:val="0"/>
        </w:rPr>
        <w:t xml:space="preserve">. These findings indicate that the relationship between RT and accuracy </w:t>
      </w:r>
      <w:r w:rsidR="006D7BF1">
        <w:rPr>
          <w:rStyle w:val="Heading3Char"/>
          <w:rFonts w:eastAsiaTheme="minorHAnsi"/>
          <w:b w:val="0"/>
        </w:rPr>
        <w:t>was</w:t>
      </w:r>
      <w:r w:rsidR="0029086A">
        <w:rPr>
          <w:rStyle w:val="Heading3Char"/>
          <w:rFonts w:eastAsiaTheme="minorHAnsi"/>
          <w:b w:val="0"/>
        </w:rPr>
        <w:t xml:space="preserve"> strongest in the non-game and theme variants. Tentatively, one might hypothesise that the incentive structure facilitated by the points task </w:t>
      </w:r>
      <w:r w:rsidR="00F806C2">
        <w:rPr>
          <w:rStyle w:val="Heading3Char"/>
          <w:rFonts w:eastAsiaTheme="minorHAnsi"/>
          <w:b w:val="0"/>
        </w:rPr>
        <w:t xml:space="preserve">prevented a speed-accuracy trade-off from occurring. </w:t>
      </w:r>
      <w:r w:rsidR="00BE6005">
        <w:rPr>
          <w:rStyle w:val="Heading3Char"/>
          <w:rFonts w:eastAsiaTheme="minorHAnsi"/>
          <w:b w:val="0"/>
        </w:rPr>
        <w:t>However, replication of these findings would be required in order to draw any firm conclusions.</w:t>
      </w:r>
      <w:bookmarkStart w:id="0" w:name="_GoBack"/>
      <w:bookmarkEnd w:id="0"/>
    </w:p>
    <w:p w14:paraId="73E13916" w14:textId="77777777" w:rsidR="00494F21" w:rsidRDefault="00494F21" w:rsidP="00E62000">
      <w:pPr>
        <w:rPr>
          <w:rStyle w:val="Heading3Char"/>
          <w:rFonts w:eastAsiaTheme="minorHAnsi"/>
          <w:b w:val="0"/>
        </w:rPr>
      </w:pPr>
    </w:p>
    <w:p w14:paraId="7C83DB5C" w14:textId="30B87D26" w:rsidR="00494F21" w:rsidRDefault="00494F21" w:rsidP="00494F21">
      <w:pPr>
        <w:spacing w:after="0"/>
        <w:rPr>
          <w:rStyle w:val="Heading3Char"/>
          <w:rFonts w:eastAsiaTheme="minorHAnsi"/>
        </w:rPr>
      </w:pPr>
      <w:r>
        <w:rPr>
          <w:rStyle w:val="Heading3Char"/>
          <w:rFonts w:eastAsiaTheme="minorHAnsi"/>
        </w:rPr>
        <w:t>References:</w:t>
      </w:r>
    </w:p>
    <w:p w14:paraId="125C01E4" w14:textId="77777777" w:rsidR="00494F21" w:rsidRPr="00494F21" w:rsidRDefault="00494F21" w:rsidP="00494F21">
      <w:pPr>
        <w:pStyle w:val="Bibliography"/>
        <w:spacing w:line="240" w:lineRule="auto"/>
      </w:pPr>
      <w:r>
        <w:rPr>
          <w:b/>
        </w:rPr>
        <w:fldChar w:fldCharType="begin"/>
      </w:r>
      <w:r>
        <w:rPr>
          <w:b/>
        </w:rPr>
        <w:instrText xml:space="preserve"> ADDIN ZOTERO_BIBL {"custom":[]} CSL_BIBLIOGRAPHY </w:instrText>
      </w:r>
      <w:r>
        <w:rPr>
          <w:b/>
        </w:rPr>
        <w:fldChar w:fldCharType="separate"/>
      </w:r>
      <w:proofErr w:type="spellStart"/>
      <w:r w:rsidRPr="00494F21">
        <w:t>Bogacz</w:t>
      </w:r>
      <w:proofErr w:type="spellEnd"/>
      <w:r w:rsidRPr="00494F21">
        <w:t xml:space="preserve">, D. R. (2013). Speed-Accuracy Trade-Off. In D. Jaeger &amp; R. Jung (Eds.), </w:t>
      </w:r>
      <w:r w:rsidRPr="00494F21">
        <w:rPr>
          <w:i/>
          <w:iCs/>
        </w:rPr>
        <w:t>Encyclopedia of Computational Neuroscience</w:t>
      </w:r>
      <w:r w:rsidRPr="00494F21">
        <w:t xml:space="preserve"> (pp. 1–4). Springer New York. Retrieved from http://link.springer.com/referenceworkentry/10.1007/978-1-4614-7320-6_319-1</w:t>
      </w:r>
    </w:p>
    <w:p w14:paraId="6EC141D2" w14:textId="77777777" w:rsidR="00494F21" w:rsidRPr="00494F21" w:rsidRDefault="00494F21" w:rsidP="00494F21">
      <w:pPr>
        <w:pStyle w:val="Bibliography"/>
        <w:spacing w:line="240" w:lineRule="auto"/>
      </w:pPr>
      <w:r w:rsidRPr="00494F21">
        <w:t xml:space="preserve">Verbruggen, F., &amp; Logan, G. D. (2008). Automatic and controlled response inhibition: Associative learning in the go/no-go and stop-signal paradigms. </w:t>
      </w:r>
      <w:r w:rsidRPr="00494F21">
        <w:rPr>
          <w:i/>
          <w:iCs/>
        </w:rPr>
        <w:t>Journal of Experimental Psychology: General</w:t>
      </w:r>
      <w:r w:rsidRPr="00494F21">
        <w:t xml:space="preserve">, </w:t>
      </w:r>
      <w:r w:rsidRPr="00494F21">
        <w:rPr>
          <w:i/>
          <w:iCs/>
        </w:rPr>
        <w:t>137</w:t>
      </w:r>
      <w:r w:rsidRPr="00494F21">
        <w:t>(4), 649–672. http://doi.org/10.1037/a0013170</w:t>
      </w:r>
    </w:p>
    <w:p w14:paraId="070705C3" w14:textId="77777777" w:rsidR="00494F21" w:rsidRPr="00494F21" w:rsidRDefault="00494F21" w:rsidP="00494F21">
      <w:pPr>
        <w:pStyle w:val="Bibliography"/>
        <w:spacing w:line="240" w:lineRule="auto"/>
      </w:pPr>
      <w:r w:rsidRPr="00494F21">
        <w:t xml:space="preserve">Wickelgren, W. A. (1977). Speed-accuracy tradeoff and information processing dynamics. </w:t>
      </w:r>
      <w:r w:rsidRPr="00494F21">
        <w:rPr>
          <w:i/>
          <w:iCs/>
        </w:rPr>
        <w:t>Acta Psychologica</w:t>
      </w:r>
      <w:r w:rsidRPr="00494F21">
        <w:t xml:space="preserve">, </w:t>
      </w:r>
      <w:r w:rsidRPr="00494F21">
        <w:rPr>
          <w:i/>
          <w:iCs/>
        </w:rPr>
        <w:t>41</w:t>
      </w:r>
      <w:r w:rsidRPr="00494F21">
        <w:t>(1), 67–85. http://doi.org/10.1016/0001-6918(77)90012-9</w:t>
      </w:r>
    </w:p>
    <w:p w14:paraId="30A5F40C" w14:textId="1E8475A3" w:rsidR="00494F21" w:rsidRPr="007F3A3C" w:rsidRDefault="00494F21" w:rsidP="00494F21">
      <w:pPr>
        <w:spacing w:line="240" w:lineRule="auto"/>
        <w:rPr>
          <w:b/>
        </w:rPr>
      </w:pPr>
      <w:r>
        <w:rPr>
          <w:b/>
        </w:rPr>
        <w:fldChar w:fldCharType="end"/>
      </w:r>
    </w:p>
    <w:p w14:paraId="020D730B" w14:textId="77777777" w:rsidR="00A65FBA" w:rsidRPr="00A65FBA" w:rsidRDefault="00A65FBA" w:rsidP="00A65FBA">
      <w:pPr>
        <w:autoSpaceDE w:val="0"/>
        <w:autoSpaceDN w:val="0"/>
        <w:adjustRightInd w:val="0"/>
        <w:spacing w:after="0" w:line="240" w:lineRule="auto"/>
      </w:pPr>
    </w:p>
    <w:p w14:paraId="0DFD7D78" w14:textId="77777777" w:rsidR="00A65FBA" w:rsidRPr="00A65FBA" w:rsidRDefault="00A65FBA" w:rsidP="00A65FBA">
      <w:pPr>
        <w:autoSpaceDE w:val="0"/>
        <w:autoSpaceDN w:val="0"/>
        <w:adjustRightInd w:val="0"/>
        <w:spacing w:after="0" w:line="400" w:lineRule="atLeast"/>
      </w:pPr>
    </w:p>
    <w:p w14:paraId="02AF6636" w14:textId="77777777" w:rsidR="009F70DF" w:rsidRPr="009F70DF" w:rsidRDefault="009F70DF" w:rsidP="009F70DF">
      <w:pPr>
        <w:autoSpaceDE w:val="0"/>
        <w:autoSpaceDN w:val="0"/>
        <w:adjustRightInd w:val="0"/>
        <w:spacing w:after="0" w:line="240" w:lineRule="auto"/>
      </w:pPr>
    </w:p>
    <w:p w14:paraId="67F34E8C" w14:textId="77777777" w:rsidR="009F70DF" w:rsidRPr="009F70DF" w:rsidRDefault="009F70DF" w:rsidP="009F70DF">
      <w:pPr>
        <w:autoSpaceDE w:val="0"/>
        <w:autoSpaceDN w:val="0"/>
        <w:adjustRightInd w:val="0"/>
        <w:spacing w:after="0" w:line="400" w:lineRule="atLeast"/>
      </w:pPr>
    </w:p>
    <w:p w14:paraId="5CD52DE2" w14:textId="77777777" w:rsidR="00A65FBA" w:rsidRPr="00DB318A" w:rsidRDefault="00A65FBA" w:rsidP="00E62000"/>
    <w:sectPr w:rsidR="00A65FBA" w:rsidRPr="00DB318A" w:rsidSect="00FA73AB">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89"/>
    <w:rsid w:val="000262A3"/>
    <w:rsid w:val="00060C62"/>
    <w:rsid w:val="000C6B38"/>
    <w:rsid w:val="000F78D7"/>
    <w:rsid w:val="001346FD"/>
    <w:rsid w:val="0017420E"/>
    <w:rsid w:val="001A1DDD"/>
    <w:rsid w:val="001A49B0"/>
    <w:rsid w:val="001A75CD"/>
    <w:rsid w:val="001E30EE"/>
    <w:rsid w:val="002066D6"/>
    <w:rsid w:val="00207DA9"/>
    <w:rsid w:val="002102EF"/>
    <w:rsid w:val="002249BB"/>
    <w:rsid w:val="00233EE4"/>
    <w:rsid w:val="00244B4E"/>
    <w:rsid w:val="002556EB"/>
    <w:rsid w:val="0029086A"/>
    <w:rsid w:val="00292CE7"/>
    <w:rsid w:val="002C3868"/>
    <w:rsid w:val="002D31EA"/>
    <w:rsid w:val="00363520"/>
    <w:rsid w:val="003B6DF2"/>
    <w:rsid w:val="003E7DA2"/>
    <w:rsid w:val="003F317B"/>
    <w:rsid w:val="00430EFD"/>
    <w:rsid w:val="00433EBA"/>
    <w:rsid w:val="00465608"/>
    <w:rsid w:val="00485F2E"/>
    <w:rsid w:val="00494F21"/>
    <w:rsid w:val="004A12EE"/>
    <w:rsid w:val="004A2594"/>
    <w:rsid w:val="004A5183"/>
    <w:rsid w:val="004B0CA2"/>
    <w:rsid w:val="004E2A6F"/>
    <w:rsid w:val="004E35B3"/>
    <w:rsid w:val="004F238D"/>
    <w:rsid w:val="005051BE"/>
    <w:rsid w:val="00544C41"/>
    <w:rsid w:val="0054732C"/>
    <w:rsid w:val="005547B1"/>
    <w:rsid w:val="00556FFC"/>
    <w:rsid w:val="0056338B"/>
    <w:rsid w:val="005941A9"/>
    <w:rsid w:val="005A396F"/>
    <w:rsid w:val="005D31F7"/>
    <w:rsid w:val="005D68F0"/>
    <w:rsid w:val="005E3144"/>
    <w:rsid w:val="00611976"/>
    <w:rsid w:val="00613707"/>
    <w:rsid w:val="00621F4F"/>
    <w:rsid w:val="0064189B"/>
    <w:rsid w:val="00644F98"/>
    <w:rsid w:val="00682761"/>
    <w:rsid w:val="0068748E"/>
    <w:rsid w:val="006959C4"/>
    <w:rsid w:val="006A7B50"/>
    <w:rsid w:val="006C5131"/>
    <w:rsid w:val="006D7BF1"/>
    <w:rsid w:val="006E30E8"/>
    <w:rsid w:val="006E42C2"/>
    <w:rsid w:val="00716511"/>
    <w:rsid w:val="00717D4E"/>
    <w:rsid w:val="0074590C"/>
    <w:rsid w:val="007801BE"/>
    <w:rsid w:val="007A3BC3"/>
    <w:rsid w:val="007A61F0"/>
    <w:rsid w:val="007C1392"/>
    <w:rsid w:val="007D3F9F"/>
    <w:rsid w:val="007E2D59"/>
    <w:rsid w:val="007F3A3C"/>
    <w:rsid w:val="007F42F3"/>
    <w:rsid w:val="0083406E"/>
    <w:rsid w:val="00834920"/>
    <w:rsid w:val="00881CE3"/>
    <w:rsid w:val="008D1EDB"/>
    <w:rsid w:val="00943710"/>
    <w:rsid w:val="00967AEB"/>
    <w:rsid w:val="009762C7"/>
    <w:rsid w:val="0098410D"/>
    <w:rsid w:val="00984186"/>
    <w:rsid w:val="00990D70"/>
    <w:rsid w:val="00996340"/>
    <w:rsid w:val="009A3812"/>
    <w:rsid w:val="009D2FD9"/>
    <w:rsid w:val="009F70DF"/>
    <w:rsid w:val="00A11C0E"/>
    <w:rsid w:val="00A27339"/>
    <w:rsid w:val="00A41D3B"/>
    <w:rsid w:val="00A44F4F"/>
    <w:rsid w:val="00A574E5"/>
    <w:rsid w:val="00A57A12"/>
    <w:rsid w:val="00A65FBA"/>
    <w:rsid w:val="00A73E96"/>
    <w:rsid w:val="00A97A7B"/>
    <w:rsid w:val="00AA179F"/>
    <w:rsid w:val="00AB56F6"/>
    <w:rsid w:val="00B24223"/>
    <w:rsid w:val="00B37869"/>
    <w:rsid w:val="00B66294"/>
    <w:rsid w:val="00B71150"/>
    <w:rsid w:val="00B7382E"/>
    <w:rsid w:val="00B83089"/>
    <w:rsid w:val="00BA46E2"/>
    <w:rsid w:val="00BB0792"/>
    <w:rsid w:val="00BD362B"/>
    <w:rsid w:val="00BE6005"/>
    <w:rsid w:val="00BF14FD"/>
    <w:rsid w:val="00C41495"/>
    <w:rsid w:val="00C52FBD"/>
    <w:rsid w:val="00C6289D"/>
    <w:rsid w:val="00C62904"/>
    <w:rsid w:val="00C86418"/>
    <w:rsid w:val="00C96148"/>
    <w:rsid w:val="00CC783D"/>
    <w:rsid w:val="00CC7CD5"/>
    <w:rsid w:val="00CD049C"/>
    <w:rsid w:val="00D03A0D"/>
    <w:rsid w:val="00D15824"/>
    <w:rsid w:val="00D4002F"/>
    <w:rsid w:val="00D6131F"/>
    <w:rsid w:val="00D92DD7"/>
    <w:rsid w:val="00D96319"/>
    <w:rsid w:val="00DB318A"/>
    <w:rsid w:val="00E31E06"/>
    <w:rsid w:val="00E346FB"/>
    <w:rsid w:val="00E61E69"/>
    <w:rsid w:val="00E62000"/>
    <w:rsid w:val="00E8293E"/>
    <w:rsid w:val="00E969AD"/>
    <w:rsid w:val="00F15197"/>
    <w:rsid w:val="00F42C0A"/>
    <w:rsid w:val="00F806C2"/>
    <w:rsid w:val="00FA73AB"/>
    <w:rsid w:val="00FA7CAA"/>
    <w:rsid w:val="00FB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02F"/>
  <w15:chartTrackingRefBased/>
  <w15:docId w15:val="{4C8278A2-FFA7-4EF6-B181-C0DD3316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2000"/>
    <w:rPr>
      <w:rFonts w:ascii="Times New Roman" w:hAnsi="Times New Roman" w:cs="Times New Roman"/>
      <w:sz w:val="24"/>
      <w:szCs w:val="24"/>
    </w:rPr>
  </w:style>
  <w:style w:type="paragraph" w:styleId="Heading3">
    <w:name w:val="heading 3"/>
    <w:basedOn w:val="Heading4"/>
    <w:next w:val="Normal"/>
    <w:link w:val="Heading3Char"/>
    <w:qFormat/>
    <w:rsid w:val="00E62000"/>
    <w:pPr>
      <w:keepNext w:val="0"/>
      <w:keepLines w:val="0"/>
      <w:tabs>
        <w:tab w:val="left" w:pos="9356"/>
      </w:tabs>
      <w:spacing w:before="0" w:line="240" w:lineRule="auto"/>
      <w:ind w:right="240"/>
      <w:outlineLvl w:val="2"/>
    </w:pPr>
    <w:rPr>
      <w:rFonts w:ascii="Times New Roman" w:eastAsia="Times New Roman" w:hAnsi="Times New Roman" w:cs="Times New Roman"/>
      <w:b/>
      <w:i w:val="0"/>
      <w:iCs w:val="0"/>
      <w:color w:val="auto"/>
    </w:rPr>
  </w:style>
  <w:style w:type="paragraph" w:styleId="Heading4">
    <w:name w:val="heading 4"/>
    <w:basedOn w:val="Normal"/>
    <w:next w:val="Normal"/>
    <w:link w:val="Heading4Char"/>
    <w:uiPriority w:val="9"/>
    <w:semiHidden/>
    <w:unhideWhenUsed/>
    <w:qFormat/>
    <w:rsid w:val="007165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84186"/>
    <w:rPr>
      <w:rFonts w:cs="Times New Roman"/>
      <w:sz w:val="16"/>
    </w:rPr>
  </w:style>
  <w:style w:type="paragraph" w:styleId="CommentText">
    <w:name w:val="annotation text"/>
    <w:basedOn w:val="Normal"/>
    <w:link w:val="CommentTextChar"/>
    <w:rsid w:val="00984186"/>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984186"/>
    <w:rPr>
      <w:rFonts w:eastAsia="Times New Roman" w:cs="Times New Roman"/>
      <w:sz w:val="20"/>
      <w:szCs w:val="20"/>
    </w:rPr>
  </w:style>
  <w:style w:type="table" w:styleId="TableGrid">
    <w:name w:val="Table Grid"/>
    <w:basedOn w:val="TableNormal"/>
    <w:rsid w:val="009841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able">
    <w:name w:val="Small table"/>
    <w:basedOn w:val="Normal"/>
    <w:link w:val="SmalltableChar"/>
    <w:qFormat/>
    <w:rsid w:val="00984186"/>
    <w:pPr>
      <w:spacing w:after="0" w:line="240" w:lineRule="auto"/>
      <w:jc w:val="center"/>
    </w:pPr>
    <w:rPr>
      <w:rFonts w:eastAsia="Times New Roman"/>
      <w:b/>
      <w:sz w:val="18"/>
    </w:rPr>
  </w:style>
  <w:style w:type="character" w:customStyle="1" w:styleId="SmalltableChar">
    <w:name w:val="Small table Char"/>
    <w:basedOn w:val="DefaultParagraphFont"/>
    <w:link w:val="Smalltable"/>
    <w:rsid w:val="00984186"/>
    <w:rPr>
      <w:rFonts w:eastAsia="Times New Roman" w:cs="Times New Roman"/>
      <w:b/>
      <w:sz w:val="18"/>
    </w:rPr>
  </w:style>
  <w:style w:type="paragraph" w:styleId="BalloonText">
    <w:name w:val="Balloon Text"/>
    <w:basedOn w:val="Normal"/>
    <w:link w:val="BalloonTextChar"/>
    <w:uiPriority w:val="99"/>
    <w:semiHidden/>
    <w:unhideWhenUsed/>
    <w:rsid w:val="00984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86"/>
    <w:rPr>
      <w:rFonts w:ascii="Segoe UI" w:hAnsi="Segoe UI" w:cs="Segoe UI"/>
      <w:sz w:val="18"/>
      <w:szCs w:val="18"/>
    </w:rPr>
  </w:style>
  <w:style w:type="paragraph" w:customStyle="1" w:styleId="TableNormal1">
    <w:name w:val="Table Normal1"/>
    <w:basedOn w:val="Normal"/>
    <w:link w:val="NormaltableChar"/>
    <w:qFormat/>
    <w:rsid w:val="00984186"/>
    <w:pPr>
      <w:spacing w:after="0" w:line="240" w:lineRule="auto"/>
    </w:pPr>
    <w:rPr>
      <w:rFonts w:eastAsia="Times New Roman"/>
      <w:b/>
    </w:rPr>
  </w:style>
  <w:style w:type="character" w:customStyle="1" w:styleId="NormaltableChar">
    <w:name w:val="Normal table Char"/>
    <w:basedOn w:val="DefaultParagraphFont"/>
    <w:link w:val="TableNormal1"/>
    <w:rsid w:val="00984186"/>
    <w:rPr>
      <w:rFonts w:eastAsia="Times New Roman" w:cs="Times New Roman"/>
      <w:b/>
    </w:rPr>
  </w:style>
  <w:style w:type="character" w:customStyle="1" w:styleId="Heading3Char">
    <w:name w:val="Heading 3 Char"/>
    <w:basedOn w:val="DefaultParagraphFont"/>
    <w:link w:val="Heading3"/>
    <w:rsid w:val="00E62000"/>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716511"/>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1A75CD"/>
  </w:style>
  <w:style w:type="paragraph" w:styleId="Revision">
    <w:name w:val="Revision"/>
    <w:hidden/>
    <w:uiPriority w:val="99"/>
    <w:semiHidden/>
    <w:rsid w:val="006E42C2"/>
    <w:pPr>
      <w:spacing w:after="0" w:line="240" w:lineRule="auto"/>
    </w:pPr>
  </w:style>
  <w:style w:type="paragraph" w:styleId="Title">
    <w:name w:val="Title"/>
    <w:basedOn w:val="Normal"/>
    <w:next w:val="Normal"/>
    <w:link w:val="TitleChar"/>
    <w:qFormat/>
    <w:rsid w:val="00E62000"/>
    <w:pPr>
      <w:tabs>
        <w:tab w:val="left" w:pos="5475"/>
      </w:tabs>
      <w:spacing w:after="0" w:line="480" w:lineRule="auto"/>
      <w:jc w:val="center"/>
    </w:pPr>
    <w:rPr>
      <w:rFonts w:eastAsia="Times New Roman"/>
      <w:b/>
    </w:rPr>
  </w:style>
  <w:style w:type="character" w:customStyle="1" w:styleId="TitleChar">
    <w:name w:val="Title Char"/>
    <w:basedOn w:val="DefaultParagraphFont"/>
    <w:link w:val="Title"/>
    <w:rsid w:val="00E62000"/>
    <w:rPr>
      <w:rFonts w:eastAsia="Times New Roman" w:cs="Times New Roman"/>
      <w:b/>
      <w:sz w:val="24"/>
    </w:rPr>
  </w:style>
  <w:style w:type="character" w:styleId="Hyperlink">
    <w:name w:val="Hyperlink"/>
    <w:basedOn w:val="DefaultParagraphFont"/>
    <w:uiPriority w:val="99"/>
    <w:unhideWhenUsed/>
    <w:rsid w:val="00E62000"/>
    <w:rPr>
      <w:color w:val="0563C1" w:themeColor="hyperlink"/>
      <w:u w:val="single"/>
    </w:rPr>
  </w:style>
  <w:style w:type="paragraph" w:styleId="Bibliography">
    <w:name w:val="Bibliography"/>
    <w:basedOn w:val="Normal"/>
    <w:next w:val="Normal"/>
    <w:uiPriority w:val="37"/>
    <w:unhideWhenUsed/>
    <w:rsid w:val="00494F2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4666">
      <w:bodyDiv w:val="1"/>
      <w:marLeft w:val="0"/>
      <w:marRight w:val="0"/>
      <w:marTop w:val="0"/>
      <w:marBottom w:val="0"/>
      <w:divBdr>
        <w:top w:val="none" w:sz="0" w:space="0" w:color="auto"/>
        <w:left w:val="none" w:sz="0" w:space="0" w:color="auto"/>
        <w:bottom w:val="none" w:sz="0" w:space="0" w:color="auto"/>
        <w:right w:val="none" w:sz="0" w:space="0" w:color="auto"/>
      </w:divBdr>
    </w:div>
    <w:div w:id="159741327">
      <w:bodyDiv w:val="1"/>
      <w:marLeft w:val="0"/>
      <w:marRight w:val="0"/>
      <w:marTop w:val="0"/>
      <w:marBottom w:val="0"/>
      <w:divBdr>
        <w:top w:val="none" w:sz="0" w:space="0" w:color="auto"/>
        <w:left w:val="none" w:sz="0" w:space="0" w:color="auto"/>
        <w:bottom w:val="none" w:sz="0" w:space="0" w:color="auto"/>
        <w:right w:val="none" w:sz="0" w:space="0" w:color="auto"/>
      </w:divBdr>
    </w:div>
    <w:div w:id="674066343">
      <w:bodyDiv w:val="1"/>
      <w:marLeft w:val="0"/>
      <w:marRight w:val="0"/>
      <w:marTop w:val="0"/>
      <w:marBottom w:val="0"/>
      <w:divBdr>
        <w:top w:val="none" w:sz="0" w:space="0" w:color="auto"/>
        <w:left w:val="none" w:sz="0" w:space="0" w:color="auto"/>
        <w:bottom w:val="none" w:sz="0" w:space="0" w:color="auto"/>
        <w:right w:val="none" w:sz="0" w:space="0" w:color="auto"/>
      </w:divBdr>
    </w:div>
    <w:div w:id="736248848">
      <w:bodyDiv w:val="1"/>
      <w:marLeft w:val="0"/>
      <w:marRight w:val="0"/>
      <w:marTop w:val="0"/>
      <w:marBottom w:val="0"/>
      <w:divBdr>
        <w:top w:val="none" w:sz="0" w:space="0" w:color="auto"/>
        <w:left w:val="none" w:sz="0" w:space="0" w:color="auto"/>
        <w:bottom w:val="none" w:sz="0" w:space="0" w:color="auto"/>
        <w:right w:val="none" w:sz="0" w:space="0" w:color="auto"/>
      </w:divBdr>
    </w:div>
    <w:div w:id="737360853">
      <w:bodyDiv w:val="1"/>
      <w:marLeft w:val="0"/>
      <w:marRight w:val="0"/>
      <w:marTop w:val="0"/>
      <w:marBottom w:val="0"/>
      <w:divBdr>
        <w:top w:val="none" w:sz="0" w:space="0" w:color="auto"/>
        <w:left w:val="none" w:sz="0" w:space="0" w:color="auto"/>
        <w:bottom w:val="none" w:sz="0" w:space="0" w:color="auto"/>
        <w:right w:val="none" w:sz="0" w:space="0" w:color="auto"/>
      </w:divBdr>
      <w:divsChild>
        <w:div w:id="1797483035">
          <w:marLeft w:val="0"/>
          <w:marRight w:val="0"/>
          <w:marTop w:val="0"/>
          <w:marBottom w:val="0"/>
          <w:divBdr>
            <w:top w:val="none" w:sz="0" w:space="0" w:color="auto"/>
            <w:left w:val="none" w:sz="0" w:space="0" w:color="auto"/>
            <w:bottom w:val="none" w:sz="0" w:space="0" w:color="auto"/>
            <w:right w:val="none" w:sz="0" w:space="0" w:color="auto"/>
          </w:divBdr>
        </w:div>
        <w:div w:id="1098138576">
          <w:marLeft w:val="0"/>
          <w:marRight w:val="0"/>
          <w:marTop w:val="0"/>
          <w:marBottom w:val="0"/>
          <w:divBdr>
            <w:top w:val="none" w:sz="0" w:space="0" w:color="auto"/>
            <w:left w:val="none" w:sz="0" w:space="0" w:color="auto"/>
            <w:bottom w:val="none" w:sz="0" w:space="0" w:color="auto"/>
            <w:right w:val="none" w:sz="0" w:space="0" w:color="auto"/>
          </w:divBdr>
        </w:div>
      </w:divsChild>
    </w:div>
    <w:div w:id="1057825908">
      <w:bodyDiv w:val="1"/>
      <w:marLeft w:val="0"/>
      <w:marRight w:val="0"/>
      <w:marTop w:val="0"/>
      <w:marBottom w:val="0"/>
      <w:divBdr>
        <w:top w:val="none" w:sz="0" w:space="0" w:color="auto"/>
        <w:left w:val="none" w:sz="0" w:space="0" w:color="auto"/>
        <w:bottom w:val="none" w:sz="0" w:space="0" w:color="auto"/>
        <w:right w:val="none" w:sz="0" w:space="0" w:color="auto"/>
      </w:divBdr>
    </w:div>
    <w:div w:id="1175532444">
      <w:bodyDiv w:val="1"/>
      <w:marLeft w:val="0"/>
      <w:marRight w:val="0"/>
      <w:marTop w:val="0"/>
      <w:marBottom w:val="0"/>
      <w:divBdr>
        <w:top w:val="none" w:sz="0" w:space="0" w:color="auto"/>
        <w:left w:val="none" w:sz="0" w:space="0" w:color="auto"/>
        <w:bottom w:val="none" w:sz="0" w:space="0" w:color="auto"/>
        <w:right w:val="none" w:sz="0" w:space="0" w:color="auto"/>
      </w:divBdr>
    </w:div>
    <w:div w:id="1231816141">
      <w:bodyDiv w:val="1"/>
      <w:marLeft w:val="0"/>
      <w:marRight w:val="0"/>
      <w:marTop w:val="0"/>
      <w:marBottom w:val="0"/>
      <w:divBdr>
        <w:top w:val="none" w:sz="0" w:space="0" w:color="auto"/>
        <w:left w:val="none" w:sz="0" w:space="0" w:color="auto"/>
        <w:bottom w:val="none" w:sz="0" w:space="0" w:color="auto"/>
        <w:right w:val="none" w:sz="0" w:space="0" w:color="auto"/>
      </w:divBdr>
      <w:divsChild>
        <w:div w:id="1082793353">
          <w:marLeft w:val="0"/>
          <w:marRight w:val="0"/>
          <w:marTop w:val="0"/>
          <w:marBottom w:val="0"/>
          <w:divBdr>
            <w:top w:val="none" w:sz="0" w:space="0" w:color="auto"/>
            <w:left w:val="none" w:sz="0" w:space="0" w:color="auto"/>
            <w:bottom w:val="none" w:sz="0" w:space="0" w:color="auto"/>
            <w:right w:val="none" w:sz="0" w:space="0" w:color="auto"/>
          </w:divBdr>
        </w:div>
        <w:div w:id="251935144">
          <w:marLeft w:val="0"/>
          <w:marRight w:val="0"/>
          <w:marTop w:val="0"/>
          <w:marBottom w:val="0"/>
          <w:divBdr>
            <w:top w:val="none" w:sz="0" w:space="0" w:color="auto"/>
            <w:left w:val="none" w:sz="0" w:space="0" w:color="auto"/>
            <w:bottom w:val="none" w:sz="0" w:space="0" w:color="auto"/>
            <w:right w:val="none" w:sz="0" w:space="0" w:color="auto"/>
          </w:divBdr>
        </w:div>
        <w:div w:id="2040935950">
          <w:marLeft w:val="0"/>
          <w:marRight w:val="0"/>
          <w:marTop w:val="0"/>
          <w:marBottom w:val="0"/>
          <w:divBdr>
            <w:top w:val="none" w:sz="0" w:space="0" w:color="auto"/>
            <w:left w:val="none" w:sz="0" w:space="0" w:color="auto"/>
            <w:bottom w:val="none" w:sz="0" w:space="0" w:color="auto"/>
            <w:right w:val="none" w:sz="0" w:space="0" w:color="auto"/>
          </w:divBdr>
        </w:div>
        <w:div w:id="1379205990">
          <w:marLeft w:val="0"/>
          <w:marRight w:val="0"/>
          <w:marTop w:val="0"/>
          <w:marBottom w:val="0"/>
          <w:divBdr>
            <w:top w:val="none" w:sz="0" w:space="0" w:color="auto"/>
            <w:left w:val="none" w:sz="0" w:space="0" w:color="auto"/>
            <w:bottom w:val="none" w:sz="0" w:space="0" w:color="auto"/>
            <w:right w:val="none" w:sz="0" w:space="0" w:color="auto"/>
          </w:divBdr>
        </w:div>
        <w:div w:id="1753965805">
          <w:marLeft w:val="0"/>
          <w:marRight w:val="0"/>
          <w:marTop w:val="0"/>
          <w:marBottom w:val="0"/>
          <w:divBdr>
            <w:top w:val="none" w:sz="0" w:space="0" w:color="auto"/>
            <w:left w:val="none" w:sz="0" w:space="0" w:color="auto"/>
            <w:bottom w:val="none" w:sz="0" w:space="0" w:color="auto"/>
            <w:right w:val="none" w:sz="0" w:space="0" w:color="auto"/>
          </w:divBdr>
        </w:div>
        <w:div w:id="2093313171">
          <w:marLeft w:val="0"/>
          <w:marRight w:val="0"/>
          <w:marTop w:val="0"/>
          <w:marBottom w:val="0"/>
          <w:divBdr>
            <w:top w:val="none" w:sz="0" w:space="0" w:color="auto"/>
            <w:left w:val="none" w:sz="0" w:space="0" w:color="auto"/>
            <w:bottom w:val="none" w:sz="0" w:space="0" w:color="auto"/>
            <w:right w:val="none" w:sz="0" w:space="0" w:color="auto"/>
          </w:divBdr>
        </w:div>
        <w:div w:id="1654748505">
          <w:marLeft w:val="0"/>
          <w:marRight w:val="0"/>
          <w:marTop w:val="0"/>
          <w:marBottom w:val="0"/>
          <w:divBdr>
            <w:top w:val="none" w:sz="0" w:space="0" w:color="auto"/>
            <w:left w:val="none" w:sz="0" w:space="0" w:color="auto"/>
            <w:bottom w:val="none" w:sz="0" w:space="0" w:color="auto"/>
            <w:right w:val="none" w:sz="0" w:space="0" w:color="auto"/>
          </w:divBdr>
        </w:div>
        <w:div w:id="1978872654">
          <w:marLeft w:val="0"/>
          <w:marRight w:val="0"/>
          <w:marTop w:val="0"/>
          <w:marBottom w:val="0"/>
          <w:divBdr>
            <w:top w:val="none" w:sz="0" w:space="0" w:color="auto"/>
            <w:left w:val="none" w:sz="0" w:space="0" w:color="auto"/>
            <w:bottom w:val="none" w:sz="0" w:space="0" w:color="auto"/>
            <w:right w:val="none" w:sz="0" w:space="0" w:color="auto"/>
          </w:divBdr>
        </w:div>
        <w:div w:id="1305769019">
          <w:marLeft w:val="0"/>
          <w:marRight w:val="0"/>
          <w:marTop w:val="0"/>
          <w:marBottom w:val="0"/>
          <w:divBdr>
            <w:top w:val="none" w:sz="0" w:space="0" w:color="auto"/>
            <w:left w:val="none" w:sz="0" w:space="0" w:color="auto"/>
            <w:bottom w:val="none" w:sz="0" w:space="0" w:color="auto"/>
            <w:right w:val="none" w:sz="0" w:space="0" w:color="auto"/>
          </w:divBdr>
        </w:div>
        <w:div w:id="459111976">
          <w:marLeft w:val="0"/>
          <w:marRight w:val="0"/>
          <w:marTop w:val="0"/>
          <w:marBottom w:val="0"/>
          <w:divBdr>
            <w:top w:val="none" w:sz="0" w:space="0" w:color="auto"/>
            <w:left w:val="none" w:sz="0" w:space="0" w:color="auto"/>
            <w:bottom w:val="none" w:sz="0" w:space="0" w:color="auto"/>
            <w:right w:val="none" w:sz="0" w:space="0" w:color="auto"/>
          </w:divBdr>
        </w:div>
        <w:div w:id="1900166267">
          <w:marLeft w:val="0"/>
          <w:marRight w:val="0"/>
          <w:marTop w:val="0"/>
          <w:marBottom w:val="0"/>
          <w:divBdr>
            <w:top w:val="none" w:sz="0" w:space="0" w:color="auto"/>
            <w:left w:val="none" w:sz="0" w:space="0" w:color="auto"/>
            <w:bottom w:val="none" w:sz="0" w:space="0" w:color="auto"/>
            <w:right w:val="none" w:sz="0" w:space="0" w:color="auto"/>
          </w:divBdr>
        </w:div>
      </w:divsChild>
    </w:div>
    <w:div w:id="21188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osf.io/b7e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3E5A-1294-40A7-BCD7-DD7E92D1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Lumsden</dc:creator>
  <cp:keywords/>
  <dc:description/>
  <cp:lastModifiedBy>JA Lumsden</cp:lastModifiedBy>
  <cp:revision>55</cp:revision>
  <dcterms:created xsi:type="dcterms:W3CDTF">2016-05-27T12:09:00Z</dcterms:created>
  <dcterms:modified xsi:type="dcterms:W3CDTF">2016-06-06T11:32:00Z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id="eKGv7Oy8"/&gt;&lt;style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