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3AD7C" w14:textId="77777777" w:rsidR="00A94D9D" w:rsidRPr="0051361C" w:rsidRDefault="00A94D9D" w:rsidP="0051361C">
      <w:pPr>
        <w:pStyle w:val="Body"/>
        <w:spacing w:line="480" w:lineRule="auto"/>
        <w:rPr>
          <w:rFonts w:ascii="Times New Roman" w:hAnsi="Times New Roman" w:cs="Times New Roman"/>
          <w:b/>
          <w:bCs/>
          <w:i/>
          <w:sz w:val="32"/>
          <w:szCs w:val="32"/>
        </w:rPr>
      </w:pPr>
      <w:r w:rsidRPr="0051361C">
        <w:rPr>
          <w:rFonts w:ascii="Times New Roman" w:hAnsi="Times New Roman" w:cs="Times New Roman"/>
          <w:b/>
          <w:bCs/>
          <w:i/>
          <w:sz w:val="32"/>
          <w:szCs w:val="32"/>
        </w:rPr>
        <w:t>Supplementary Material for:</w:t>
      </w:r>
    </w:p>
    <w:p w14:paraId="15D34CFC" w14:textId="77A6EAD0" w:rsidR="00A94D9D" w:rsidRDefault="00230D1D" w:rsidP="00230D1D">
      <w:pPr>
        <w:pStyle w:val="Body"/>
        <w:rPr>
          <w:rFonts w:ascii="Times New Roman" w:hAnsi="Times New Roman" w:cs="Times New Roman"/>
          <w:sz w:val="24"/>
          <w:szCs w:val="24"/>
        </w:rPr>
      </w:pPr>
      <w:r w:rsidRPr="00230D1D">
        <w:rPr>
          <w:rFonts w:ascii="Times New Roman" w:hAnsi="Times New Roman" w:cs="Times New Roman"/>
          <w:bCs/>
          <w:sz w:val="24"/>
          <w:szCs w:val="24"/>
        </w:rPr>
        <w:t>Logan CJ</w:t>
      </w:r>
      <w:r w:rsidRPr="00230D1D">
        <w:rPr>
          <w:rFonts w:ascii="Times New Roman" w:hAnsi="Times New Roman" w:cs="Times New Roman"/>
          <w:sz w:val="24"/>
          <w:szCs w:val="24"/>
        </w:rPr>
        <w:t xml:space="preserve">. </w:t>
      </w:r>
      <w:r>
        <w:rPr>
          <w:rFonts w:ascii="Times New Roman" w:hAnsi="Times New Roman" w:cs="Times New Roman"/>
          <w:sz w:val="24"/>
          <w:szCs w:val="24"/>
        </w:rPr>
        <w:t>2016</w:t>
      </w:r>
      <w:r w:rsidRPr="00230D1D">
        <w:rPr>
          <w:rFonts w:ascii="Times New Roman" w:hAnsi="Times New Roman" w:cs="Times New Roman"/>
          <w:sz w:val="24"/>
          <w:szCs w:val="24"/>
        </w:rPr>
        <w:t xml:space="preserve">. Behavioral flexibility in an invasive bird is independent of other </w:t>
      </w:r>
      <w:r w:rsidRPr="002777E4">
        <w:rPr>
          <w:rFonts w:ascii="Times New Roman" w:hAnsi="Times New Roman" w:cs="Times New Roman"/>
          <w:sz w:val="24"/>
          <w:szCs w:val="24"/>
        </w:rPr>
        <w:t xml:space="preserve">behaviors. </w:t>
      </w:r>
      <w:r w:rsidRPr="002777E4">
        <w:rPr>
          <w:rFonts w:ascii="Times New Roman" w:hAnsi="Times New Roman" w:cs="Times New Roman"/>
          <w:i/>
          <w:iCs/>
          <w:sz w:val="24"/>
          <w:szCs w:val="24"/>
        </w:rPr>
        <w:t xml:space="preserve">PeerJ </w:t>
      </w:r>
      <w:r w:rsidRPr="002777E4">
        <w:rPr>
          <w:rFonts w:ascii="Times New Roman" w:hAnsi="Times New Roman" w:cs="Times New Roman"/>
          <w:bCs/>
          <w:sz w:val="24"/>
          <w:szCs w:val="24"/>
        </w:rPr>
        <w:t>4</w:t>
      </w:r>
      <w:r w:rsidRPr="002777E4">
        <w:rPr>
          <w:rFonts w:ascii="Times New Roman" w:hAnsi="Times New Roman" w:cs="Times New Roman"/>
          <w:sz w:val="24"/>
          <w:szCs w:val="24"/>
        </w:rPr>
        <w:t>:e2215.</w:t>
      </w:r>
      <w:r w:rsidR="002777E4" w:rsidRPr="002777E4">
        <w:rPr>
          <w:rFonts w:ascii="Times New Roman" w:hAnsi="Times New Roman" w:cs="Times New Roman"/>
          <w:sz w:val="24"/>
          <w:szCs w:val="24"/>
        </w:rPr>
        <w:t xml:space="preserve"> </w:t>
      </w:r>
      <w:r w:rsidR="002777E4" w:rsidRPr="002777E4">
        <w:rPr>
          <w:rFonts w:ascii="Times New Roman" w:hAnsi="Times New Roman" w:cs="Times New Roman"/>
          <w:sz w:val="24"/>
          <w:szCs w:val="24"/>
        </w:rPr>
        <w:t>doi:10.7717/peerj.2215</w:t>
      </w:r>
      <w:r w:rsidR="002777E4">
        <w:rPr>
          <w:rFonts w:ascii="Times New Roman" w:hAnsi="Times New Roman" w:cs="Times New Roman"/>
          <w:sz w:val="24"/>
          <w:szCs w:val="24"/>
        </w:rPr>
        <w:t>.</w:t>
      </w:r>
      <w:bookmarkStart w:id="0" w:name="_GoBack"/>
      <w:bookmarkEnd w:id="0"/>
      <w:r w:rsidR="002777E4" w:rsidRPr="002777E4">
        <w:rPr>
          <w:rFonts w:ascii="Times New Roman" w:hAnsi="Times New Roman" w:cs="Times New Roman"/>
          <w:sz w:val="24"/>
          <w:szCs w:val="24"/>
        </w:rPr>
        <w:t xml:space="preserve"> </w:t>
      </w:r>
      <w:hyperlink r:id="rId5" w:history="1">
        <w:r w:rsidR="002777E4" w:rsidRPr="002777E4">
          <w:rPr>
            <w:rFonts w:ascii="Times New Roman" w:hAnsi="Times New Roman" w:cs="Times New Roman"/>
            <w:sz w:val="24"/>
            <w:szCs w:val="24"/>
          </w:rPr>
          <w:t>https://peerj.com/articles/2215/</w:t>
        </w:r>
      </w:hyperlink>
    </w:p>
    <w:p w14:paraId="66C4A437" w14:textId="77777777" w:rsidR="00230D1D" w:rsidRPr="00230D1D" w:rsidRDefault="00230D1D" w:rsidP="00230D1D">
      <w:pPr>
        <w:pStyle w:val="Body"/>
        <w:rPr>
          <w:rFonts w:ascii="Times New Roman" w:eastAsia="Times New Roman" w:hAnsi="Times New Roman" w:cs="Times New Roman"/>
          <w:b/>
          <w:bCs/>
          <w:sz w:val="24"/>
          <w:szCs w:val="24"/>
        </w:rPr>
      </w:pPr>
    </w:p>
    <w:p w14:paraId="6C57891D" w14:textId="77777777" w:rsidR="00447D4D" w:rsidRDefault="00447D4D"/>
    <w:p w14:paraId="06D8D660" w14:textId="0E61CA73" w:rsidR="00B75D5E" w:rsidRDefault="00B75D5E" w:rsidP="00CF207C">
      <w:pPr>
        <w:jc w:val="both"/>
      </w:pPr>
      <w:r w:rsidRPr="00CF207C">
        <w:rPr>
          <w:b/>
        </w:rPr>
        <w:t>Table S1. Does behavioral flexibility correlate with exploration or persistence?</w:t>
      </w:r>
      <w:r>
        <w:t xml:space="preserve"> GLM results with behavioral flexibility scores (response variable), exploration (total number of section changes) and persistence (total number of interactions with the table, apparatus, and stick) while examining the potential influence of batch (explanatory variables). </w:t>
      </w:r>
      <w:r w:rsidR="00E5401C">
        <w:t>Poisson distribution with a</w:t>
      </w:r>
      <w:r>
        <w:t xml:space="preserve"> </w:t>
      </w:r>
      <w:r w:rsidR="00E5401C">
        <w:t>log</w:t>
      </w:r>
      <w:r>
        <w:t xml:space="preserve"> link, n=7 birds, CI=</w:t>
      </w:r>
      <w:r w:rsidR="00E5401C">
        <w:t xml:space="preserve">Bayesian </w:t>
      </w:r>
      <w:r>
        <w:t>credible interval.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980"/>
        <w:gridCol w:w="1980"/>
        <w:gridCol w:w="1080"/>
      </w:tblGrid>
      <w:tr w:rsidR="00E50DF2" w14:paraId="49AB0255" w14:textId="77777777" w:rsidTr="00E50DF2">
        <w:tc>
          <w:tcPr>
            <w:tcW w:w="2178" w:type="dxa"/>
            <w:tcBorders>
              <w:top w:val="single" w:sz="4" w:space="0" w:color="auto"/>
              <w:bottom w:val="single" w:sz="4" w:space="0" w:color="auto"/>
            </w:tcBorders>
          </w:tcPr>
          <w:p w14:paraId="47A4CDAF" w14:textId="77777777" w:rsidR="00B75D5E" w:rsidRDefault="00B75D5E" w:rsidP="00D712A2"/>
        </w:tc>
        <w:tc>
          <w:tcPr>
            <w:tcW w:w="1980" w:type="dxa"/>
            <w:tcBorders>
              <w:top w:val="single" w:sz="4" w:space="0" w:color="auto"/>
              <w:bottom w:val="single" w:sz="4" w:space="0" w:color="auto"/>
            </w:tcBorders>
          </w:tcPr>
          <w:p w14:paraId="18737DE1" w14:textId="77777777" w:rsidR="00B75D5E" w:rsidRPr="00E809AD" w:rsidRDefault="00B75D5E" w:rsidP="00D712A2">
            <w:pPr>
              <w:rPr>
                <w:b/>
              </w:rPr>
            </w:pPr>
            <w:r w:rsidRPr="00E809AD">
              <w:rPr>
                <w:b/>
              </w:rPr>
              <w:t>Posterior mean</w:t>
            </w:r>
          </w:p>
        </w:tc>
        <w:tc>
          <w:tcPr>
            <w:tcW w:w="1980" w:type="dxa"/>
            <w:tcBorders>
              <w:top w:val="single" w:sz="4" w:space="0" w:color="auto"/>
              <w:bottom w:val="single" w:sz="4" w:space="0" w:color="auto"/>
            </w:tcBorders>
          </w:tcPr>
          <w:p w14:paraId="21B0E945" w14:textId="77777777" w:rsidR="00B75D5E" w:rsidRPr="00E809AD" w:rsidRDefault="00B75D5E" w:rsidP="00D712A2">
            <w:pPr>
              <w:rPr>
                <w:b/>
              </w:rPr>
            </w:pPr>
            <w:r w:rsidRPr="00E809AD">
              <w:rPr>
                <w:b/>
              </w:rPr>
              <w:t>95% CI</w:t>
            </w:r>
          </w:p>
        </w:tc>
        <w:tc>
          <w:tcPr>
            <w:tcW w:w="1080" w:type="dxa"/>
            <w:tcBorders>
              <w:top w:val="single" w:sz="4" w:space="0" w:color="auto"/>
              <w:bottom w:val="single" w:sz="4" w:space="0" w:color="auto"/>
            </w:tcBorders>
          </w:tcPr>
          <w:p w14:paraId="1AF1CF50" w14:textId="77777777" w:rsidR="00B75D5E" w:rsidRPr="00E809AD" w:rsidRDefault="00B75D5E" w:rsidP="00D712A2">
            <w:pPr>
              <w:rPr>
                <w:b/>
              </w:rPr>
            </w:pPr>
            <w:r w:rsidRPr="00E809AD">
              <w:rPr>
                <w:b/>
              </w:rPr>
              <w:t>p</w:t>
            </w:r>
          </w:p>
        </w:tc>
      </w:tr>
      <w:tr w:rsidR="00E50DF2" w14:paraId="7DA35E4E" w14:textId="77777777" w:rsidTr="00E50DF2">
        <w:tc>
          <w:tcPr>
            <w:tcW w:w="2178" w:type="dxa"/>
            <w:tcBorders>
              <w:top w:val="single" w:sz="4" w:space="0" w:color="auto"/>
            </w:tcBorders>
          </w:tcPr>
          <w:p w14:paraId="408561A7" w14:textId="77777777" w:rsidR="00B75D5E" w:rsidRDefault="00B75D5E" w:rsidP="00D712A2">
            <w:r>
              <w:t xml:space="preserve">Intercept </w:t>
            </w:r>
          </w:p>
        </w:tc>
        <w:tc>
          <w:tcPr>
            <w:tcW w:w="1980" w:type="dxa"/>
            <w:tcBorders>
              <w:top w:val="single" w:sz="4" w:space="0" w:color="auto"/>
            </w:tcBorders>
          </w:tcPr>
          <w:p w14:paraId="58001749" w14:textId="7DB67FC1" w:rsidR="00B75D5E" w:rsidRDefault="001A6769" w:rsidP="001A6769">
            <w:pPr>
              <w:jc w:val="right"/>
            </w:pPr>
            <w:r>
              <w:t>4</w:t>
            </w:r>
            <w:r w:rsidR="009E70A0">
              <w:t>.</w:t>
            </w:r>
            <w:r>
              <w:t>03</w:t>
            </w:r>
          </w:p>
        </w:tc>
        <w:tc>
          <w:tcPr>
            <w:tcW w:w="1980" w:type="dxa"/>
            <w:tcBorders>
              <w:top w:val="single" w:sz="4" w:space="0" w:color="auto"/>
            </w:tcBorders>
          </w:tcPr>
          <w:p w14:paraId="168A40A3" w14:textId="1275C0FD" w:rsidR="00B75D5E" w:rsidRDefault="000F6C86" w:rsidP="00E50DF2">
            <w:pPr>
              <w:jc w:val="right"/>
            </w:pPr>
            <w:r>
              <w:t>-</w:t>
            </w:r>
            <w:r w:rsidR="00E50DF2">
              <w:t>1</w:t>
            </w:r>
            <w:r>
              <w:t>.</w:t>
            </w:r>
            <w:r w:rsidR="00E50DF2">
              <w:t>60</w:t>
            </w:r>
            <w:r>
              <w:t>-</w:t>
            </w:r>
            <w:r w:rsidR="00E50DF2">
              <w:t>9</w:t>
            </w:r>
            <w:r>
              <w:t>.</w:t>
            </w:r>
            <w:r w:rsidR="00E50DF2">
              <w:t>54</w:t>
            </w:r>
          </w:p>
        </w:tc>
        <w:tc>
          <w:tcPr>
            <w:tcW w:w="1080" w:type="dxa"/>
            <w:tcBorders>
              <w:top w:val="single" w:sz="4" w:space="0" w:color="auto"/>
            </w:tcBorders>
          </w:tcPr>
          <w:p w14:paraId="50DE5D05" w14:textId="3A0D20D7" w:rsidR="00B75D5E" w:rsidRDefault="000F6C86" w:rsidP="001F52C8">
            <w:pPr>
              <w:jc w:val="right"/>
            </w:pPr>
            <w:r>
              <w:t>0.</w:t>
            </w:r>
            <w:r w:rsidR="001F52C8">
              <w:t>1</w:t>
            </w:r>
            <w:r>
              <w:t>1</w:t>
            </w:r>
          </w:p>
        </w:tc>
      </w:tr>
      <w:tr w:rsidR="00E50DF2" w14:paraId="675D02DB" w14:textId="77777777" w:rsidTr="00E50DF2">
        <w:tc>
          <w:tcPr>
            <w:tcW w:w="2178" w:type="dxa"/>
          </w:tcPr>
          <w:p w14:paraId="7F65E033" w14:textId="60158E74" w:rsidR="00B75D5E" w:rsidRDefault="001A6769" w:rsidP="00D712A2">
            <w:r>
              <w:t>Exploration</w:t>
            </w:r>
          </w:p>
        </w:tc>
        <w:tc>
          <w:tcPr>
            <w:tcW w:w="1980" w:type="dxa"/>
          </w:tcPr>
          <w:p w14:paraId="02570D20" w14:textId="5B82A5D7" w:rsidR="00B75D5E" w:rsidRDefault="009E70A0" w:rsidP="009E70A0">
            <w:pPr>
              <w:jc w:val="right"/>
            </w:pPr>
            <w:r>
              <w:t>0.004</w:t>
            </w:r>
          </w:p>
        </w:tc>
        <w:tc>
          <w:tcPr>
            <w:tcW w:w="1980" w:type="dxa"/>
          </w:tcPr>
          <w:p w14:paraId="609F3D32" w14:textId="58957888" w:rsidR="00B75D5E" w:rsidRDefault="000F6C86" w:rsidP="00E50DF2">
            <w:pPr>
              <w:jc w:val="right"/>
            </w:pPr>
            <w:r>
              <w:t>-</w:t>
            </w:r>
            <w:r w:rsidR="00E50DF2">
              <w:t>0</w:t>
            </w:r>
            <w:r>
              <w:t>.</w:t>
            </w:r>
            <w:r w:rsidR="00E50DF2">
              <w:t>04</w:t>
            </w:r>
            <w:r>
              <w:t>-</w:t>
            </w:r>
            <w:r w:rsidR="00E50DF2">
              <w:t>0</w:t>
            </w:r>
            <w:r>
              <w:t>.</w:t>
            </w:r>
            <w:r w:rsidR="00E50DF2">
              <w:t>05</w:t>
            </w:r>
          </w:p>
        </w:tc>
        <w:tc>
          <w:tcPr>
            <w:tcW w:w="1080" w:type="dxa"/>
          </w:tcPr>
          <w:p w14:paraId="57FB8653" w14:textId="378E6F07" w:rsidR="00B75D5E" w:rsidRDefault="000F6C86" w:rsidP="001F52C8">
            <w:pPr>
              <w:jc w:val="right"/>
            </w:pPr>
            <w:r>
              <w:t>0.</w:t>
            </w:r>
            <w:r w:rsidR="001F52C8">
              <w:t>87</w:t>
            </w:r>
          </w:p>
        </w:tc>
      </w:tr>
      <w:tr w:rsidR="00E50DF2" w14:paraId="3FA8CC5E" w14:textId="77777777" w:rsidTr="00E50DF2">
        <w:tc>
          <w:tcPr>
            <w:tcW w:w="2178" w:type="dxa"/>
          </w:tcPr>
          <w:p w14:paraId="76436A31" w14:textId="3E817E0E" w:rsidR="00B75D5E" w:rsidRDefault="001A6769" w:rsidP="006930DE">
            <w:r>
              <w:t>Persistence</w:t>
            </w:r>
          </w:p>
        </w:tc>
        <w:tc>
          <w:tcPr>
            <w:tcW w:w="1980" w:type="dxa"/>
          </w:tcPr>
          <w:p w14:paraId="134DC374" w14:textId="08B03CF8" w:rsidR="00B75D5E" w:rsidRDefault="009E70A0" w:rsidP="001A6769">
            <w:pPr>
              <w:jc w:val="right"/>
            </w:pPr>
            <w:r>
              <w:t>0.0</w:t>
            </w:r>
            <w:r w:rsidR="001A6769">
              <w:t>0006</w:t>
            </w:r>
          </w:p>
        </w:tc>
        <w:tc>
          <w:tcPr>
            <w:tcW w:w="1980" w:type="dxa"/>
          </w:tcPr>
          <w:p w14:paraId="294FF11D" w14:textId="4AFE15EA" w:rsidR="00B75D5E" w:rsidRDefault="000F6C86" w:rsidP="001F52C8">
            <w:pPr>
              <w:jc w:val="right"/>
            </w:pPr>
            <w:r>
              <w:t>-0.</w:t>
            </w:r>
            <w:r w:rsidR="001F52C8">
              <w:t>007</w:t>
            </w:r>
            <w:r>
              <w:t>-0.</w:t>
            </w:r>
            <w:r w:rsidR="001F52C8">
              <w:t>007</w:t>
            </w:r>
          </w:p>
        </w:tc>
        <w:tc>
          <w:tcPr>
            <w:tcW w:w="1080" w:type="dxa"/>
          </w:tcPr>
          <w:p w14:paraId="7AE1B34F" w14:textId="21629578" w:rsidR="00B75D5E" w:rsidRDefault="000F6C86" w:rsidP="00D712A2">
            <w:pPr>
              <w:jc w:val="right"/>
            </w:pPr>
            <w:r>
              <w:t>0.</w:t>
            </w:r>
            <w:r w:rsidR="001F52C8">
              <w:t>93</w:t>
            </w:r>
          </w:p>
        </w:tc>
      </w:tr>
      <w:tr w:rsidR="00E50DF2" w14:paraId="22D0B720" w14:textId="77777777" w:rsidTr="00E50DF2">
        <w:tc>
          <w:tcPr>
            <w:tcW w:w="2178" w:type="dxa"/>
          </w:tcPr>
          <w:p w14:paraId="49B516ED" w14:textId="77777777" w:rsidR="00B75D5E" w:rsidRDefault="00B75D5E" w:rsidP="00D712A2">
            <w:r>
              <w:t>Batch</w:t>
            </w:r>
          </w:p>
        </w:tc>
        <w:tc>
          <w:tcPr>
            <w:tcW w:w="1980" w:type="dxa"/>
          </w:tcPr>
          <w:p w14:paraId="433D67B3" w14:textId="6CA62CB8" w:rsidR="00B75D5E" w:rsidRDefault="001A6769" w:rsidP="001A6769">
            <w:pPr>
              <w:jc w:val="right"/>
            </w:pPr>
            <w:r>
              <w:t>-0</w:t>
            </w:r>
            <w:r w:rsidR="009E70A0">
              <w:t>.</w:t>
            </w:r>
            <w:r>
              <w:t>08</w:t>
            </w:r>
          </w:p>
        </w:tc>
        <w:tc>
          <w:tcPr>
            <w:tcW w:w="1980" w:type="dxa"/>
          </w:tcPr>
          <w:p w14:paraId="25C0238F" w14:textId="0B020CBF" w:rsidR="00B75D5E" w:rsidRDefault="000F6C86" w:rsidP="001F52C8">
            <w:pPr>
              <w:jc w:val="right"/>
            </w:pPr>
            <w:r>
              <w:t>-</w:t>
            </w:r>
            <w:r w:rsidR="001F52C8">
              <w:t>7</w:t>
            </w:r>
            <w:r>
              <w:t>.2</w:t>
            </w:r>
            <w:r w:rsidR="001F52C8">
              <w:t>5</w:t>
            </w:r>
            <w:r>
              <w:t>-</w:t>
            </w:r>
            <w:r w:rsidR="001F52C8">
              <w:t>6</w:t>
            </w:r>
            <w:r>
              <w:t>.</w:t>
            </w:r>
            <w:r w:rsidR="001F52C8">
              <w:t>21</w:t>
            </w:r>
          </w:p>
        </w:tc>
        <w:tc>
          <w:tcPr>
            <w:tcW w:w="1080" w:type="dxa"/>
          </w:tcPr>
          <w:p w14:paraId="5720DD25" w14:textId="5076933E" w:rsidR="00B75D5E" w:rsidRDefault="000F6C86" w:rsidP="00D712A2">
            <w:pPr>
              <w:jc w:val="right"/>
            </w:pPr>
            <w:r>
              <w:t>0.</w:t>
            </w:r>
            <w:r w:rsidR="001F52C8">
              <w:t>93</w:t>
            </w:r>
          </w:p>
        </w:tc>
      </w:tr>
    </w:tbl>
    <w:p w14:paraId="3C0E0291" w14:textId="77777777" w:rsidR="00B75D5E" w:rsidRDefault="00B75D5E" w:rsidP="00B75D5E"/>
    <w:p w14:paraId="7533FBCB" w14:textId="77777777" w:rsidR="00A94D9D" w:rsidRDefault="00A94D9D"/>
    <w:p w14:paraId="0E08E8D4" w14:textId="77777777" w:rsidR="00B75D5E" w:rsidRDefault="00B75D5E"/>
    <w:p w14:paraId="664F8811" w14:textId="23879667" w:rsidR="00A94D9D" w:rsidRDefault="002854D6" w:rsidP="00CF207C">
      <w:pPr>
        <w:jc w:val="both"/>
      </w:pPr>
      <w:r w:rsidRPr="00CF207C">
        <w:rPr>
          <w:b/>
        </w:rPr>
        <w:t>Table S</w:t>
      </w:r>
      <w:r w:rsidR="00B75D5E" w:rsidRPr="00CF207C">
        <w:rPr>
          <w:b/>
        </w:rPr>
        <w:t>2</w:t>
      </w:r>
      <w:r w:rsidRPr="00CF207C">
        <w:rPr>
          <w:b/>
        </w:rPr>
        <w:t xml:space="preserve">. Does behavioral flexibility correlate with risk aversion or motor diversity? </w:t>
      </w:r>
      <w:r>
        <w:t xml:space="preserve">GLM results with behavioral flexibility scores (response variable), risk aversion (percent time spent in the </w:t>
      </w:r>
      <w:r w:rsidR="00A33600">
        <w:t>safest</w:t>
      </w:r>
      <w:r>
        <w:t xml:space="preserve"> </w:t>
      </w:r>
      <w:r w:rsidR="00CF207C">
        <w:t>sections</w:t>
      </w:r>
      <w:r>
        <w:t xml:space="preserve"> of the aviary) </w:t>
      </w:r>
      <w:r w:rsidR="00B75D5E">
        <w:t>and</w:t>
      </w:r>
      <w:r>
        <w:t xml:space="preserve"> motor diversity (total number of motor actions used) while examining the potential influence of batch (explanatory variables).</w:t>
      </w:r>
      <w:r w:rsidR="00E809AD">
        <w:t xml:space="preserve"> </w:t>
      </w:r>
      <w:r w:rsidR="00CF207C">
        <w:t xml:space="preserve">Poisson </w:t>
      </w:r>
      <w:r w:rsidR="00E809AD">
        <w:t xml:space="preserve">distribution with a </w:t>
      </w:r>
      <w:r w:rsidR="00CF207C">
        <w:t xml:space="preserve">log </w:t>
      </w:r>
      <w:r w:rsidR="00E809AD">
        <w:t>link, n=7 birds, CI=</w:t>
      </w:r>
      <w:r w:rsidR="00CF207C">
        <w:t xml:space="preserve">Bayesian </w:t>
      </w:r>
      <w:r w:rsidR="00E809AD">
        <w:t>credible interval.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980"/>
        <w:gridCol w:w="1980"/>
        <w:gridCol w:w="1080"/>
      </w:tblGrid>
      <w:tr w:rsidR="002D6B36" w14:paraId="6B907BB5" w14:textId="77777777" w:rsidTr="002D6B36">
        <w:tc>
          <w:tcPr>
            <w:tcW w:w="2268" w:type="dxa"/>
            <w:tcBorders>
              <w:top w:val="single" w:sz="4" w:space="0" w:color="auto"/>
              <w:bottom w:val="single" w:sz="4" w:space="0" w:color="auto"/>
            </w:tcBorders>
          </w:tcPr>
          <w:p w14:paraId="68684B7D" w14:textId="77777777" w:rsidR="00E809AD" w:rsidRDefault="00E809AD"/>
        </w:tc>
        <w:tc>
          <w:tcPr>
            <w:tcW w:w="1980" w:type="dxa"/>
            <w:tcBorders>
              <w:top w:val="single" w:sz="4" w:space="0" w:color="auto"/>
              <w:bottom w:val="single" w:sz="4" w:space="0" w:color="auto"/>
            </w:tcBorders>
          </w:tcPr>
          <w:p w14:paraId="0424FBBE" w14:textId="6D1D7E57" w:rsidR="00E809AD" w:rsidRPr="00E809AD" w:rsidRDefault="00E809AD">
            <w:pPr>
              <w:rPr>
                <w:b/>
              </w:rPr>
            </w:pPr>
            <w:r w:rsidRPr="00E809AD">
              <w:rPr>
                <w:b/>
              </w:rPr>
              <w:t>Posterior mean</w:t>
            </w:r>
          </w:p>
        </w:tc>
        <w:tc>
          <w:tcPr>
            <w:tcW w:w="1980" w:type="dxa"/>
            <w:tcBorders>
              <w:top w:val="single" w:sz="4" w:space="0" w:color="auto"/>
              <w:bottom w:val="single" w:sz="4" w:space="0" w:color="auto"/>
            </w:tcBorders>
          </w:tcPr>
          <w:p w14:paraId="19DA48C5" w14:textId="1F84B6A2" w:rsidR="00E809AD" w:rsidRPr="00E809AD" w:rsidRDefault="00E809AD">
            <w:pPr>
              <w:rPr>
                <w:b/>
              </w:rPr>
            </w:pPr>
            <w:r w:rsidRPr="00E809AD">
              <w:rPr>
                <w:b/>
              </w:rPr>
              <w:t>95% CI</w:t>
            </w:r>
          </w:p>
        </w:tc>
        <w:tc>
          <w:tcPr>
            <w:tcW w:w="1080" w:type="dxa"/>
            <w:tcBorders>
              <w:top w:val="single" w:sz="4" w:space="0" w:color="auto"/>
              <w:bottom w:val="single" w:sz="4" w:space="0" w:color="auto"/>
            </w:tcBorders>
          </w:tcPr>
          <w:p w14:paraId="66266F80" w14:textId="0A323845" w:rsidR="00E809AD" w:rsidRPr="00E809AD" w:rsidRDefault="00E809AD">
            <w:pPr>
              <w:rPr>
                <w:b/>
              </w:rPr>
            </w:pPr>
            <w:r w:rsidRPr="00E809AD">
              <w:rPr>
                <w:b/>
              </w:rPr>
              <w:t>p</w:t>
            </w:r>
          </w:p>
        </w:tc>
      </w:tr>
      <w:tr w:rsidR="002D6B36" w14:paraId="545FF089" w14:textId="77777777" w:rsidTr="002D6B36">
        <w:tc>
          <w:tcPr>
            <w:tcW w:w="2268" w:type="dxa"/>
            <w:tcBorders>
              <w:top w:val="single" w:sz="4" w:space="0" w:color="auto"/>
            </w:tcBorders>
          </w:tcPr>
          <w:p w14:paraId="20E6B269" w14:textId="415F3566" w:rsidR="00E809AD" w:rsidRDefault="00E809AD">
            <w:r>
              <w:t xml:space="preserve">Intercept </w:t>
            </w:r>
          </w:p>
        </w:tc>
        <w:tc>
          <w:tcPr>
            <w:tcW w:w="1980" w:type="dxa"/>
            <w:tcBorders>
              <w:top w:val="single" w:sz="4" w:space="0" w:color="auto"/>
            </w:tcBorders>
          </w:tcPr>
          <w:p w14:paraId="4D573019" w14:textId="470CD298" w:rsidR="00E809AD" w:rsidRDefault="00BD113D" w:rsidP="00BD113D">
            <w:pPr>
              <w:jc w:val="right"/>
            </w:pPr>
            <w:r>
              <w:t>8</w:t>
            </w:r>
            <w:r w:rsidR="00E809AD">
              <w:t>.</w:t>
            </w:r>
            <w:r>
              <w:t>62</w:t>
            </w:r>
          </w:p>
        </w:tc>
        <w:tc>
          <w:tcPr>
            <w:tcW w:w="1980" w:type="dxa"/>
            <w:tcBorders>
              <w:top w:val="single" w:sz="4" w:space="0" w:color="auto"/>
            </w:tcBorders>
          </w:tcPr>
          <w:p w14:paraId="24DD13A3" w14:textId="2BC0F4CE" w:rsidR="00E809AD" w:rsidRDefault="00BD113D" w:rsidP="00BD113D">
            <w:pPr>
              <w:jc w:val="right"/>
            </w:pPr>
            <w:r>
              <w:t>-6</w:t>
            </w:r>
            <w:r w:rsidR="00E809AD">
              <w:t>.</w:t>
            </w:r>
            <w:r>
              <w:t>85</w:t>
            </w:r>
            <w:r w:rsidR="00E809AD">
              <w:t>-</w:t>
            </w:r>
            <w:r>
              <w:t>25</w:t>
            </w:r>
            <w:r w:rsidR="00E809AD">
              <w:t>.</w:t>
            </w:r>
            <w:r>
              <w:t>93</w:t>
            </w:r>
          </w:p>
        </w:tc>
        <w:tc>
          <w:tcPr>
            <w:tcW w:w="1080" w:type="dxa"/>
            <w:tcBorders>
              <w:top w:val="single" w:sz="4" w:space="0" w:color="auto"/>
            </w:tcBorders>
          </w:tcPr>
          <w:p w14:paraId="504724E9" w14:textId="3A5D0C0C" w:rsidR="00E809AD" w:rsidRDefault="00E809AD" w:rsidP="00BD113D">
            <w:pPr>
              <w:jc w:val="right"/>
            </w:pPr>
            <w:r>
              <w:t>0.</w:t>
            </w:r>
            <w:r w:rsidR="00BD113D">
              <w:t>20</w:t>
            </w:r>
          </w:p>
        </w:tc>
      </w:tr>
      <w:tr w:rsidR="002D6B36" w14:paraId="2221288D" w14:textId="77777777" w:rsidTr="002D6B36">
        <w:tc>
          <w:tcPr>
            <w:tcW w:w="2268" w:type="dxa"/>
          </w:tcPr>
          <w:p w14:paraId="7F9B9534" w14:textId="7E29DC6E" w:rsidR="00E809AD" w:rsidRDefault="00B212A1">
            <w:r>
              <w:t>Risk aversion</w:t>
            </w:r>
          </w:p>
        </w:tc>
        <w:tc>
          <w:tcPr>
            <w:tcW w:w="1980" w:type="dxa"/>
          </w:tcPr>
          <w:p w14:paraId="0EB7D924" w14:textId="50D797B9" w:rsidR="00E809AD" w:rsidRDefault="00BD113D" w:rsidP="007D59B1">
            <w:pPr>
              <w:jc w:val="right"/>
            </w:pPr>
            <w:r>
              <w:t>-</w:t>
            </w:r>
            <w:r w:rsidR="007D59B1">
              <w:t>0</w:t>
            </w:r>
            <w:r w:rsidR="00E809AD">
              <w:t>.</w:t>
            </w:r>
            <w:r w:rsidR="007D59B1">
              <w:t>05</w:t>
            </w:r>
          </w:p>
        </w:tc>
        <w:tc>
          <w:tcPr>
            <w:tcW w:w="1980" w:type="dxa"/>
          </w:tcPr>
          <w:p w14:paraId="3E11E743" w14:textId="33EBAC0B" w:rsidR="00E809AD" w:rsidRDefault="00E809AD" w:rsidP="00BD113D">
            <w:pPr>
              <w:jc w:val="right"/>
            </w:pPr>
            <w:r>
              <w:t>-</w:t>
            </w:r>
            <w:r w:rsidR="00EE1D9F">
              <w:t>0</w:t>
            </w:r>
            <w:r>
              <w:t>.</w:t>
            </w:r>
            <w:r w:rsidR="00EE1D9F">
              <w:t>2</w:t>
            </w:r>
            <w:r w:rsidR="00BD113D">
              <w:t>1</w:t>
            </w:r>
            <w:r w:rsidR="00EE1D9F">
              <w:t>-0</w:t>
            </w:r>
            <w:r>
              <w:t>.</w:t>
            </w:r>
            <w:r w:rsidR="00BD113D">
              <w:t>11</w:t>
            </w:r>
          </w:p>
        </w:tc>
        <w:tc>
          <w:tcPr>
            <w:tcW w:w="1080" w:type="dxa"/>
          </w:tcPr>
          <w:p w14:paraId="4FE1BD1F" w14:textId="60EDAC7A" w:rsidR="00E809AD" w:rsidRDefault="00EE1D9F" w:rsidP="00BD113D">
            <w:pPr>
              <w:jc w:val="right"/>
            </w:pPr>
            <w:r>
              <w:t>0.</w:t>
            </w:r>
            <w:r w:rsidR="00BD113D">
              <w:t>41</w:t>
            </w:r>
          </w:p>
        </w:tc>
      </w:tr>
      <w:tr w:rsidR="002D6B36" w14:paraId="11C7DE5C" w14:textId="77777777" w:rsidTr="002D6B36">
        <w:tc>
          <w:tcPr>
            <w:tcW w:w="2268" w:type="dxa"/>
          </w:tcPr>
          <w:p w14:paraId="74443494" w14:textId="6F1C0958" w:rsidR="00E809AD" w:rsidRDefault="00B212A1">
            <w:r>
              <w:t>Motor diversity</w:t>
            </w:r>
          </w:p>
        </w:tc>
        <w:tc>
          <w:tcPr>
            <w:tcW w:w="1980" w:type="dxa"/>
          </w:tcPr>
          <w:p w14:paraId="77A205D4" w14:textId="2F32DB3C" w:rsidR="00E809AD" w:rsidRDefault="007D59B1" w:rsidP="007D59B1">
            <w:pPr>
              <w:jc w:val="right"/>
            </w:pPr>
            <w:r>
              <w:t>0</w:t>
            </w:r>
            <w:r w:rsidR="00E809AD">
              <w:t>.</w:t>
            </w:r>
            <w:r>
              <w:t>06</w:t>
            </w:r>
          </w:p>
        </w:tc>
        <w:tc>
          <w:tcPr>
            <w:tcW w:w="1980" w:type="dxa"/>
          </w:tcPr>
          <w:p w14:paraId="1DC67DCB" w14:textId="0636665B" w:rsidR="00E809AD" w:rsidRDefault="00BD113D" w:rsidP="00BD113D">
            <w:pPr>
              <w:jc w:val="right"/>
            </w:pPr>
            <w:r>
              <w:t>-0.22</w:t>
            </w:r>
            <w:r w:rsidR="00EE1D9F">
              <w:t>-0.3</w:t>
            </w:r>
            <w:r>
              <w:t>5</w:t>
            </w:r>
          </w:p>
        </w:tc>
        <w:tc>
          <w:tcPr>
            <w:tcW w:w="1080" w:type="dxa"/>
          </w:tcPr>
          <w:p w14:paraId="62D49E40" w14:textId="7F75C97B" w:rsidR="00E809AD" w:rsidRDefault="00E809AD" w:rsidP="00EE1D9F">
            <w:pPr>
              <w:jc w:val="right"/>
            </w:pPr>
            <w:r>
              <w:t>0.</w:t>
            </w:r>
            <w:r w:rsidR="00EE1D9F">
              <w:t>5</w:t>
            </w:r>
            <w:r w:rsidR="00BD113D">
              <w:t>1</w:t>
            </w:r>
          </w:p>
        </w:tc>
      </w:tr>
      <w:tr w:rsidR="002D6B36" w14:paraId="48287BC2" w14:textId="77777777" w:rsidTr="002D6B36">
        <w:tc>
          <w:tcPr>
            <w:tcW w:w="2268" w:type="dxa"/>
          </w:tcPr>
          <w:p w14:paraId="7CE98878" w14:textId="54208EA7" w:rsidR="00E809AD" w:rsidRDefault="00E809AD">
            <w:r>
              <w:t>Batch</w:t>
            </w:r>
          </w:p>
        </w:tc>
        <w:tc>
          <w:tcPr>
            <w:tcW w:w="1980" w:type="dxa"/>
          </w:tcPr>
          <w:p w14:paraId="262570D6" w14:textId="4B6173E7" w:rsidR="00E809AD" w:rsidRDefault="007D59B1" w:rsidP="00BD113D">
            <w:pPr>
              <w:jc w:val="right"/>
            </w:pPr>
            <w:r>
              <w:t>-0</w:t>
            </w:r>
            <w:r w:rsidR="00E809AD">
              <w:t>.</w:t>
            </w:r>
            <w:r>
              <w:t>2</w:t>
            </w:r>
            <w:r w:rsidR="00BD113D">
              <w:t>8</w:t>
            </w:r>
          </w:p>
        </w:tc>
        <w:tc>
          <w:tcPr>
            <w:tcW w:w="1980" w:type="dxa"/>
          </w:tcPr>
          <w:p w14:paraId="0566845B" w14:textId="64AEEF29" w:rsidR="00E809AD" w:rsidRDefault="00EE1D9F" w:rsidP="00EE1D9F">
            <w:pPr>
              <w:jc w:val="right"/>
            </w:pPr>
            <w:r>
              <w:t>-2</w:t>
            </w:r>
            <w:r w:rsidR="00E809AD">
              <w:t>.</w:t>
            </w:r>
            <w:r w:rsidR="00BD113D">
              <w:t>65</w:t>
            </w:r>
            <w:r w:rsidR="00E809AD">
              <w:t>-</w:t>
            </w:r>
            <w:r>
              <w:t>2</w:t>
            </w:r>
            <w:r w:rsidR="00E809AD">
              <w:t>.</w:t>
            </w:r>
            <w:r w:rsidR="00BD113D">
              <w:t>00</w:t>
            </w:r>
          </w:p>
        </w:tc>
        <w:tc>
          <w:tcPr>
            <w:tcW w:w="1080" w:type="dxa"/>
          </w:tcPr>
          <w:p w14:paraId="48F05CE4" w14:textId="65A23BEC" w:rsidR="00E809AD" w:rsidRDefault="00E809AD" w:rsidP="00EE1D9F">
            <w:pPr>
              <w:jc w:val="right"/>
            </w:pPr>
            <w:r>
              <w:t>0.</w:t>
            </w:r>
            <w:r w:rsidR="00BD113D">
              <w:t>75</w:t>
            </w:r>
          </w:p>
        </w:tc>
      </w:tr>
    </w:tbl>
    <w:p w14:paraId="6B0D81E5" w14:textId="77777777" w:rsidR="00E809AD" w:rsidRDefault="00E809AD"/>
    <w:sectPr w:rsidR="00E809AD" w:rsidSect="00447D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9D"/>
    <w:rsid w:val="000F6C86"/>
    <w:rsid w:val="001A6769"/>
    <w:rsid w:val="001F52C8"/>
    <w:rsid w:val="00230D1D"/>
    <w:rsid w:val="002777E4"/>
    <w:rsid w:val="002854D6"/>
    <w:rsid w:val="002D6B36"/>
    <w:rsid w:val="00447D4D"/>
    <w:rsid w:val="0051361C"/>
    <w:rsid w:val="006930DE"/>
    <w:rsid w:val="007D59B1"/>
    <w:rsid w:val="009E70A0"/>
    <w:rsid w:val="00A33600"/>
    <w:rsid w:val="00A94D9D"/>
    <w:rsid w:val="00B212A1"/>
    <w:rsid w:val="00B75D5E"/>
    <w:rsid w:val="00BD113D"/>
    <w:rsid w:val="00CF207C"/>
    <w:rsid w:val="00E50DF2"/>
    <w:rsid w:val="00E5401C"/>
    <w:rsid w:val="00E809AD"/>
    <w:rsid w:val="00EE1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C4B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94D9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0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94D9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0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eerj.com/articles/22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215</Words>
  <Characters>1230</Characters>
  <Application>Microsoft Macintosh Word</Application>
  <DocSecurity>0</DocSecurity>
  <Lines>10</Lines>
  <Paragraphs>2</Paragraphs>
  <ScaleCrop>false</ScaleCrop>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dc:creator>
  <cp:keywords/>
  <dc:description/>
  <cp:lastModifiedBy>Corina</cp:lastModifiedBy>
  <cp:revision>23</cp:revision>
  <dcterms:created xsi:type="dcterms:W3CDTF">2016-04-20T13:53:00Z</dcterms:created>
  <dcterms:modified xsi:type="dcterms:W3CDTF">2016-06-27T18:35:00Z</dcterms:modified>
</cp:coreProperties>
</file>