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E1" w:rsidRPr="00A157D2" w:rsidRDefault="00B368E1" w:rsidP="00B368E1">
      <w:pPr>
        <w:pStyle w:val="berschrif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Supplemental File: Further Descriptives</w:t>
      </w:r>
    </w:p>
    <w:p w:rsidR="00B368E1" w:rsidRPr="00A157D2" w:rsidRDefault="00B368E1" w:rsidP="00B368E1">
      <w:pPr>
        <w:rPr>
          <w:rFonts w:ascii="Times New Roman" w:hAnsi="Times New Roman" w:cs="Times New Roman"/>
          <w:szCs w:val="24"/>
          <w:shd w:val="clear" w:color="auto" w:fill="FFFFFF"/>
        </w:rPr>
      </w:pPr>
      <w:r w:rsidRPr="00A157D2">
        <w:rPr>
          <w:rFonts w:ascii="Times New Roman" w:hAnsi="Times New Roman" w:cs="Times New Roman"/>
          <w:szCs w:val="24"/>
          <w:shd w:val="clear" w:color="auto" w:fill="FFFFFF"/>
        </w:rPr>
        <w:t xml:space="preserve">The Music Engagement Questionnaire (Vanstone et al., 2015) measures engagement with music in daily life. It comprises six subscales: music in daily life, emotional listening experience, musical performativity, musical consumer behaviour, responsive music listening, musical preference. These factors are assessed using 35 statements. Participants are asked to rate how well each statement describes themselves on a scale from 1 (“Not at all”) to 5 (“Very much”). The values in Table </w:t>
      </w:r>
      <w:r>
        <w:rPr>
          <w:rFonts w:ascii="Times New Roman" w:hAnsi="Times New Roman" w:cs="Times New Roman"/>
          <w:szCs w:val="24"/>
          <w:shd w:val="clear" w:color="auto" w:fill="FFFFFF"/>
        </w:rPr>
        <w:t>1</w:t>
      </w:r>
      <w:r w:rsidRPr="00A157D2">
        <w:rPr>
          <w:rFonts w:ascii="Times New Roman" w:hAnsi="Times New Roman" w:cs="Times New Roman"/>
          <w:szCs w:val="24"/>
          <w:shd w:val="clear" w:color="auto" w:fill="FFFFFF"/>
        </w:rPr>
        <w:t xml:space="preserve"> are average scores calculated for each subscale using the factor loadings reported by Vanstone et al. (2015). We divided the weighted sum of items for each scale by the sum of weights to obtain a number ranging between 1 and 5.</w:t>
      </w:r>
    </w:p>
    <w:p w:rsidR="00B368E1" w:rsidRPr="00A157D2" w:rsidRDefault="00B368E1" w:rsidP="00B368E1">
      <w:pPr>
        <w:pStyle w:val="Beschriftung"/>
        <w:keepNext/>
        <w:rPr>
          <w:rFonts w:ascii="Times New Roman" w:hAnsi="Times New Roman" w:cs="Times New Roman"/>
          <w:szCs w:val="24"/>
        </w:rPr>
      </w:pPr>
      <w:r w:rsidRPr="00A157D2">
        <w:rPr>
          <w:rFonts w:ascii="Times New Roman" w:hAnsi="Times New Roman" w:cs="Times New Roman"/>
          <w:szCs w:val="24"/>
        </w:rPr>
        <w:t xml:space="preserve">Table </w:t>
      </w:r>
      <w:r w:rsidRPr="00A157D2">
        <w:rPr>
          <w:rFonts w:ascii="Times New Roman" w:hAnsi="Times New Roman" w:cs="Times New Roman"/>
          <w:szCs w:val="24"/>
        </w:rPr>
        <w:fldChar w:fldCharType="begin"/>
      </w:r>
      <w:r w:rsidRPr="00A157D2">
        <w:rPr>
          <w:rFonts w:ascii="Times New Roman" w:hAnsi="Times New Roman" w:cs="Times New Roman"/>
          <w:szCs w:val="24"/>
        </w:rPr>
        <w:instrText xml:space="preserve"> SEQ Table \* ARABIC </w:instrText>
      </w:r>
      <w:r w:rsidRPr="00A157D2">
        <w:rPr>
          <w:rFonts w:ascii="Times New Roman" w:hAnsi="Times New Roman" w:cs="Times New Roman"/>
          <w:szCs w:val="24"/>
        </w:rPr>
        <w:fldChar w:fldCharType="separate"/>
      </w:r>
      <w:r>
        <w:rPr>
          <w:rFonts w:ascii="Times New Roman" w:hAnsi="Times New Roman" w:cs="Times New Roman"/>
          <w:noProof/>
          <w:szCs w:val="24"/>
        </w:rPr>
        <w:t>1</w:t>
      </w:r>
      <w:r w:rsidRPr="00A157D2">
        <w:rPr>
          <w:rFonts w:ascii="Times New Roman" w:hAnsi="Times New Roman" w:cs="Times New Roman"/>
          <w:noProof/>
          <w:szCs w:val="24"/>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9"/>
        <w:gridCol w:w="2268"/>
      </w:tblGrid>
      <w:tr w:rsidR="00B368E1" w:rsidRPr="00A157D2" w:rsidTr="00060909">
        <w:tc>
          <w:tcPr>
            <w:tcW w:w="3686" w:type="dxa"/>
            <w:tcBorders>
              <w:bottom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Subscale</w:t>
            </w:r>
          </w:p>
        </w:tc>
        <w:tc>
          <w:tcPr>
            <w:tcW w:w="1559" w:type="dxa"/>
            <w:tcBorders>
              <w:bottom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Mean</w:t>
            </w:r>
          </w:p>
        </w:tc>
        <w:tc>
          <w:tcPr>
            <w:tcW w:w="2268" w:type="dxa"/>
            <w:tcBorders>
              <w:bottom w:val="single" w:sz="4" w:space="0" w:color="auto"/>
            </w:tcBorders>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Standard Deviation</w:t>
            </w:r>
          </w:p>
        </w:tc>
      </w:tr>
      <w:tr w:rsidR="00B368E1" w:rsidRPr="00A157D2" w:rsidTr="00060909">
        <w:tc>
          <w:tcPr>
            <w:tcW w:w="3686" w:type="dxa"/>
            <w:tcBorders>
              <w:top w:val="single" w:sz="4" w:space="0" w:color="auto"/>
            </w:tcBorders>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Music in Daily Life</w:t>
            </w:r>
          </w:p>
        </w:tc>
        <w:tc>
          <w:tcPr>
            <w:tcW w:w="1559" w:type="dxa"/>
            <w:tcBorders>
              <w:top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4.09</w:t>
            </w:r>
          </w:p>
        </w:tc>
        <w:tc>
          <w:tcPr>
            <w:tcW w:w="2268" w:type="dxa"/>
            <w:tcBorders>
              <w:top w:val="single" w:sz="4" w:space="0" w:color="auto"/>
            </w:tcBorders>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0.71</w:t>
            </w:r>
          </w:p>
        </w:tc>
      </w:tr>
      <w:tr w:rsidR="00B368E1" w:rsidRPr="00A157D2" w:rsidTr="00060909">
        <w:tc>
          <w:tcPr>
            <w:tcW w:w="3686"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Emotional Listening Experience</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4.31</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0.58</w:t>
            </w:r>
          </w:p>
        </w:tc>
      </w:tr>
      <w:tr w:rsidR="00B368E1" w:rsidRPr="00A157D2" w:rsidTr="00060909">
        <w:tc>
          <w:tcPr>
            <w:tcW w:w="3686"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Musical Performativity</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3.33</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1.01</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Musical Consumer Behaviour</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3.57</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0.81</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Responsive Music Listening</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3.76</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0.80</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Musical Preference</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4.23</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0.64</w:t>
            </w:r>
          </w:p>
        </w:tc>
      </w:tr>
    </w:tbl>
    <w:p w:rsidR="00B368E1" w:rsidRPr="00A157D2" w:rsidRDefault="00B368E1" w:rsidP="00B368E1">
      <w:pPr>
        <w:rPr>
          <w:rFonts w:ascii="Times New Roman" w:hAnsi="Times New Roman" w:cs="Times New Roman"/>
          <w:szCs w:val="24"/>
          <w:shd w:val="clear" w:color="auto" w:fill="FFFFFF"/>
        </w:rPr>
      </w:pPr>
    </w:p>
    <w:p w:rsidR="00B368E1" w:rsidRPr="00A157D2" w:rsidRDefault="00B368E1" w:rsidP="00B368E1">
      <w:pPr>
        <w:rPr>
          <w:rFonts w:ascii="Times New Roman" w:hAnsi="Times New Roman" w:cs="Times New Roman"/>
          <w:szCs w:val="24"/>
          <w:shd w:val="clear" w:color="auto" w:fill="FFFFFF"/>
        </w:rPr>
      </w:pPr>
      <w:r w:rsidRPr="00A157D2">
        <w:rPr>
          <w:rFonts w:ascii="Times New Roman" w:hAnsi="Times New Roman" w:cs="Times New Roman"/>
          <w:szCs w:val="24"/>
          <w:shd w:val="clear" w:color="auto" w:fill="FFFFFF"/>
        </w:rPr>
        <w:t xml:space="preserve">Rentfrow and Gosling (2003) propose 4 music preference dimensions. On their Short Test of Music Preferences (Rentfrow &amp; Gosling, 2003) participants are asked to rate on a scale from 1 to 7 how much they like each of 14 music genres, with 1 corresponding to “Not at all”, and 7 corresponding to “A great deal”. The 4 music preference dimensions are as following: reflexive and complex, intense and rebellious, upbeat and conventional, energetic and rhythmic. The values in Table </w:t>
      </w:r>
      <w:r>
        <w:rPr>
          <w:rFonts w:ascii="Times New Roman" w:hAnsi="Times New Roman" w:cs="Times New Roman"/>
          <w:szCs w:val="24"/>
          <w:shd w:val="clear" w:color="auto" w:fill="FFFFFF"/>
        </w:rPr>
        <w:t>2</w:t>
      </w:r>
      <w:r w:rsidRPr="00A157D2">
        <w:rPr>
          <w:rFonts w:ascii="Times New Roman" w:hAnsi="Times New Roman" w:cs="Times New Roman"/>
          <w:szCs w:val="24"/>
          <w:shd w:val="clear" w:color="auto" w:fill="FFFFFF"/>
        </w:rPr>
        <w:t xml:space="preserve"> are average scores calculated for each dimensions using the factor loadings reported by Rentfrow and Gosling (2003).We divided the weighted sum of items for each scale by the sum of weights to obtain a number ranging between 1 and 7.</w:t>
      </w:r>
    </w:p>
    <w:p w:rsidR="00B368E1" w:rsidRPr="00A157D2" w:rsidRDefault="00B368E1" w:rsidP="00B368E1">
      <w:pPr>
        <w:pStyle w:val="Beschriftung"/>
        <w:keepNext/>
        <w:rPr>
          <w:rFonts w:ascii="Times New Roman" w:hAnsi="Times New Roman" w:cs="Times New Roman"/>
          <w:szCs w:val="24"/>
        </w:rPr>
      </w:pPr>
      <w:r w:rsidRPr="00A157D2">
        <w:rPr>
          <w:rFonts w:ascii="Times New Roman" w:hAnsi="Times New Roman" w:cs="Times New Roman"/>
          <w:szCs w:val="24"/>
        </w:rPr>
        <w:lastRenderedPageBreak/>
        <w:t xml:space="preserve">Table </w:t>
      </w:r>
      <w:r w:rsidRPr="00A157D2">
        <w:rPr>
          <w:rFonts w:ascii="Times New Roman" w:hAnsi="Times New Roman" w:cs="Times New Roman"/>
          <w:szCs w:val="24"/>
        </w:rPr>
        <w:fldChar w:fldCharType="begin"/>
      </w:r>
      <w:r w:rsidRPr="00A157D2">
        <w:rPr>
          <w:rFonts w:ascii="Times New Roman" w:hAnsi="Times New Roman" w:cs="Times New Roman"/>
          <w:szCs w:val="24"/>
        </w:rPr>
        <w:instrText xml:space="preserve"> SEQ Table \* ARABIC </w:instrText>
      </w:r>
      <w:r w:rsidRPr="00A157D2">
        <w:rPr>
          <w:rFonts w:ascii="Times New Roman" w:hAnsi="Times New Roman" w:cs="Times New Roman"/>
          <w:szCs w:val="24"/>
        </w:rPr>
        <w:fldChar w:fldCharType="separate"/>
      </w:r>
      <w:r>
        <w:rPr>
          <w:rFonts w:ascii="Times New Roman" w:hAnsi="Times New Roman" w:cs="Times New Roman"/>
          <w:noProof/>
          <w:szCs w:val="24"/>
        </w:rPr>
        <w:t>2</w:t>
      </w:r>
      <w:r w:rsidRPr="00A157D2">
        <w:rPr>
          <w:rFonts w:ascii="Times New Roman" w:hAnsi="Times New Roman" w:cs="Times New Roman"/>
          <w:noProof/>
          <w:szCs w:val="24"/>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9"/>
        <w:gridCol w:w="2268"/>
      </w:tblGrid>
      <w:tr w:rsidR="00B368E1" w:rsidRPr="00A157D2" w:rsidTr="00060909">
        <w:tc>
          <w:tcPr>
            <w:tcW w:w="3686" w:type="dxa"/>
            <w:tcBorders>
              <w:bottom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Preference Dimension</w:t>
            </w:r>
          </w:p>
        </w:tc>
        <w:tc>
          <w:tcPr>
            <w:tcW w:w="1559" w:type="dxa"/>
            <w:tcBorders>
              <w:bottom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Mean</w:t>
            </w:r>
          </w:p>
        </w:tc>
        <w:tc>
          <w:tcPr>
            <w:tcW w:w="2268" w:type="dxa"/>
            <w:tcBorders>
              <w:bottom w:val="single" w:sz="4" w:space="0" w:color="auto"/>
            </w:tcBorders>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Standard Deviation</w:t>
            </w:r>
          </w:p>
        </w:tc>
      </w:tr>
      <w:tr w:rsidR="00B368E1" w:rsidRPr="00A157D2" w:rsidTr="00060909">
        <w:tc>
          <w:tcPr>
            <w:tcW w:w="3686" w:type="dxa"/>
            <w:tcBorders>
              <w:top w:val="single" w:sz="4" w:space="0" w:color="auto"/>
            </w:tcBorders>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Reflexive and Complex</w:t>
            </w:r>
          </w:p>
        </w:tc>
        <w:tc>
          <w:tcPr>
            <w:tcW w:w="1559" w:type="dxa"/>
            <w:tcBorders>
              <w:top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4.62</w:t>
            </w:r>
          </w:p>
        </w:tc>
        <w:tc>
          <w:tcPr>
            <w:tcW w:w="2268" w:type="dxa"/>
            <w:tcBorders>
              <w:top w:val="single" w:sz="4" w:space="0" w:color="auto"/>
            </w:tcBorders>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0.87</w:t>
            </w:r>
          </w:p>
        </w:tc>
      </w:tr>
      <w:tr w:rsidR="00B368E1" w:rsidRPr="00A157D2" w:rsidTr="00060909">
        <w:tc>
          <w:tcPr>
            <w:tcW w:w="3686"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Intense and Rebellious</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4.37</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1.46</w:t>
            </w:r>
          </w:p>
        </w:tc>
      </w:tr>
      <w:tr w:rsidR="00B368E1" w:rsidRPr="00A157D2" w:rsidTr="00060909">
        <w:tc>
          <w:tcPr>
            <w:tcW w:w="3686"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Upbeat and Conventional</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4.60</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1.01</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Energetic and Rhythmic</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4.93</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0.96</w:t>
            </w:r>
          </w:p>
        </w:tc>
      </w:tr>
    </w:tbl>
    <w:p w:rsidR="00B368E1" w:rsidRPr="00A157D2" w:rsidRDefault="00B368E1" w:rsidP="00B368E1">
      <w:pPr>
        <w:rPr>
          <w:rFonts w:ascii="Times New Roman" w:hAnsi="Times New Roman" w:cs="Times New Roman"/>
          <w:szCs w:val="24"/>
          <w:shd w:val="clear" w:color="auto" w:fill="FFFFFF"/>
        </w:rPr>
      </w:pPr>
    </w:p>
    <w:p w:rsidR="00B368E1" w:rsidRPr="00A157D2" w:rsidRDefault="00B368E1" w:rsidP="00B368E1">
      <w:pPr>
        <w:rPr>
          <w:rFonts w:ascii="Times New Roman" w:hAnsi="Times New Roman" w:cs="Times New Roman"/>
          <w:szCs w:val="24"/>
          <w:shd w:val="clear" w:color="auto" w:fill="FFFFFF"/>
        </w:rPr>
      </w:pPr>
      <w:r w:rsidRPr="00A157D2">
        <w:rPr>
          <w:rFonts w:ascii="Times New Roman" w:hAnsi="Times New Roman" w:cs="Times New Roman"/>
          <w:szCs w:val="24"/>
          <w:shd w:val="clear" w:color="auto" w:fill="FFFFFF"/>
        </w:rPr>
        <w:t xml:space="preserve">The Goldsmiths Music Sophistication Index (Müllensiefen et al., 2014) assesses participants’ self-reported musical sophistication. Participants are asked to indicate how much they agree with each of 31 statements on a scale from 1 (“Completely disagree”) to 7 (“Completely agree”). The values in Table </w:t>
      </w:r>
      <w:r>
        <w:rPr>
          <w:rFonts w:ascii="Times New Roman" w:hAnsi="Times New Roman" w:cs="Times New Roman"/>
          <w:szCs w:val="24"/>
          <w:shd w:val="clear" w:color="auto" w:fill="FFFFFF"/>
        </w:rPr>
        <w:t>3</w:t>
      </w:r>
      <w:r w:rsidRPr="00A157D2">
        <w:rPr>
          <w:rFonts w:ascii="Times New Roman" w:hAnsi="Times New Roman" w:cs="Times New Roman"/>
          <w:szCs w:val="24"/>
          <w:shd w:val="clear" w:color="auto" w:fill="FFFFFF"/>
        </w:rPr>
        <w:t xml:space="preserve"> are scores calculated for each of six indices (five subscales and a general sophistication index). The five subscales are as following: active engagement, perceptual abilities, musical training, singing abilities, emotions. We report the sums of all items for each index to allow for easier comparison</w:t>
      </w:r>
      <w:bookmarkStart w:id="0" w:name="_GoBack"/>
      <w:bookmarkEnd w:id="0"/>
      <w:r w:rsidRPr="00A157D2">
        <w:rPr>
          <w:rFonts w:ascii="Times New Roman" w:hAnsi="Times New Roman" w:cs="Times New Roman"/>
          <w:szCs w:val="24"/>
          <w:shd w:val="clear" w:color="auto" w:fill="FFFFFF"/>
        </w:rPr>
        <w:t xml:space="preserve"> with the data reported by Müllensiefen et al. (2014).</w:t>
      </w:r>
    </w:p>
    <w:p w:rsidR="00B368E1" w:rsidRPr="00A157D2" w:rsidRDefault="00B368E1" w:rsidP="00B368E1">
      <w:pPr>
        <w:pStyle w:val="Beschriftung"/>
        <w:keepNext/>
        <w:rPr>
          <w:rFonts w:ascii="Times New Roman" w:hAnsi="Times New Roman" w:cs="Times New Roman"/>
          <w:szCs w:val="24"/>
        </w:rPr>
      </w:pPr>
      <w:r w:rsidRPr="00A157D2">
        <w:rPr>
          <w:rFonts w:ascii="Times New Roman" w:hAnsi="Times New Roman" w:cs="Times New Roman"/>
          <w:szCs w:val="24"/>
        </w:rPr>
        <w:t xml:space="preserve">Table </w:t>
      </w:r>
      <w:r w:rsidRPr="00A157D2">
        <w:rPr>
          <w:rFonts w:ascii="Times New Roman" w:hAnsi="Times New Roman" w:cs="Times New Roman"/>
          <w:szCs w:val="24"/>
        </w:rPr>
        <w:fldChar w:fldCharType="begin"/>
      </w:r>
      <w:r w:rsidRPr="00A157D2">
        <w:rPr>
          <w:rFonts w:ascii="Times New Roman" w:hAnsi="Times New Roman" w:cs="Times New Roman"/>
          <w:szCs w:val="24"/>
        </w:rPr>
        <w:instrText xml:space="preserve"> SEQ Table \* ARABIC </w:instrText>
      </w:r>
      <w:r w:rsidRPr="00A157D2">
        <w:rPr>
          <w:rFonts w:ascii="Times New Roman" w:hAnsi="Times New Roman" w:cs="Times New Roman"/>
          <w:szCs w:val="24"/>
        </w:rPr>
        <w:fldChar w:fldCharType="separate"/>
      </w:r>
      <w:r>
        <w:rPr>
          <w:rFonts w:ascii="Times New Roman" w:hAnsi="Times New Roman" w:cs="Times New Roman"/>
          <w:noProof/>
          <w:szCs w:val="24"/>
        </w:rPr>
        <w:t>3</w:t>
      </w:r>
      <w:r w:rsidRPr="00A157D2">
        <w:rPr>
          <w:rFonts w:ascii="Times New Roman" w:hAnsi="Times New Roman" w:cs="Times New Roman"/>
          <w:noProof/>
          <w:szCs w:val="24"/>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559"/>
        <w:gridCol w:w="2268"/>
      </w:tblGrid>
      <w:tr w:rsidR="00B368E1" w:rsidRPr="00A157D2" w:rsidTr="00060909">
        <w:tc>
          <w:tcPr>
            <w:tcW w:w="3686" w:type="dxa"/>
            <w:tcBorders>
              <w:bottom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Subscale</w:t>
            </w:r>
          </w:p>
        </w:tc>
        <w:tc>
          <w:tcPr>
            <w:tcW w:w="1559" w:type="dxa"/>
            <w:tcBorders>
              <w:bottom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Mean</w:t>
            </w:r>
          </w:p>
        </w:tc>
        <w:tc>
          <w:tcPr>
            <w:tcW w:w="2268" w:type="dxa"/>
            <w:tcBorders>
              <w:bottom w:val="single" w:sz="4" w:space="0" w:color="auto"/>
            </w:tcBorders>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Standard Deviation</w:t>
            </w:r>
          </w:p>
        </w:tc>
      </w:tr>
      <w:tr w:rsidR="00B368E1" w:rsidRPr="00A157D2" w:rsidTr="00060909">
        <w:tc>
          <w:tcPr>
            <w:tcW w:w="3686" w:type="dxa"/>
            <w:tcBorders>
              <w:top w:val="single" w:sz="4" w:space="0" w:color="auto"/>
            </w:tcBorders>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Arial" w:hAnsi="Times New Roman" w:cs="Times New Roman"/>
                <w:szCs w:val="24"/>
              </w:rPr>
              <w:t>Active Engagement</w:t>
            </w:r>
          </w:p>
        </w:tc>
        <w:tc>
          <w:tcPr>
            <w:tcW w:w="1559" w:type="dxa"/>
            <w:tcBorders>
              <w:top w:val="single" w:sz="4" w:space="0" w:color="auto"/>
            </w:tcBorders>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40.05</w:t>
            </w:r>
          </w:p>
        </w:tc>
        <w:tc>
          <w:tcPr>
            <w:tcW w:w="2268" w:type="dxa"/>
            <w:tcBorders>
              <w:top w:val="single" w:sz="4" w:space="0" w:color="auto"/>
            </w:tcBorders>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9.56</w:t>
            </w:r>
          </w:p>
        </w:tc>
      </w:tr>
      <w:tr w:rsidR="00B368E1" w:rsidRPr="00A157D2" w:rsidTr="00060909">
        <w:tc>
          <w:tcPr>
            <w:tcW w:w="3686"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Perceptual Abilities</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48.74</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6.29</w:t>
            </w:r>
          </w:p>
        </w:tc>
      </w:tr>
      <w:tr w:rsidR="00B368E1" w:rsidRPr="00A157D2" w:rsidTr="00060909">
        <w:tc>
          <w:tcPr>
            <w:tcW w:w="3686"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Musical Training</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32.36</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8.09</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Singing Abilities</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31.49</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7.14</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Emotions</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29.95</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3.80</w:t>
            </w:r>
          </w:p>
        </w:tc>
      </w:tr>
      <w:tr w:rsidR="00B368E1" w:rsidRPr="00A157D2" w:rsidTr="00060909">
        <w:tc>
          <w:tcPr>
            <w:tcW w:w="3686" w:type="dxa"/>
            <w:vAlign w:val="bottom"/>
          </w:tcPr>
          <w:p w:rsidR="00B368E1" w:rsidRPr="00A157D2" w:rsidRDefault="00B368E1" w:rsidP="00060909">
            <w:pPr>
              <w:rPr>
                <w:rFonts w:ascii="Times New Roman" w:eastAsia="Calibri" w:hAnsi="Times New Roman" w:cs="Times New Roman"/>
                <w:szCs w:val="24"/>
              </w:rPr>
            </w:pPr>
            <w:r w:rsidRPr="00A157D2">
              <w:rPr>
                <w:rFonts w:ascii="Times New Roman" w:eastAsia="Calibri" w:hAnsi="Times New Roman" w:cs="Times New Roman"/>
                <w:szCs w:val="24"/>
              </w:rPr>
              <w:t>General Sophistication</w:t>
            </w:r>
          </w:p>
        </w:tc>
        <w:tc>
          <w:tcPr>
            <w:tcW w:w="1559" w:type="dxa"/>
            <w:vAlign w:val="bottom"/>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82.89</w:t>
            </w:r>
          </w:p>
        </w:tc>
        <w:tc>
          <w:tcPr>
            <w:tcW w:w="2268" w:type="dxa"/>
          </w:tcPr>
          <w:p w:rsidR="00B368E1" w:rsidRPr="00A157D2" w:rsidRDefault="00B368E1" w:rsidP="00060909">
            <w:pPr>
              <w:rPr>
                <w:rFonts w:ascii="Times New Roman" w:hAnsi="Times New Roman" w:cs="Times New Roman"/>
                <w:szCs w:val="24"/>
              </w:rPr>
            </w:pPr>
            <w:r w:rsidRPr="00A157D2">
              <w:rPr>
                <w:rFonts w:ascii="Times New Roman" w:hAnsi="Times New Roman" w:cs="Times New Roman"/>
                <w:szCs w:val="24"/>
              </w:rPr>
              <w:t>17.23</w:t>
            </w:r>
          </w:p>
        </w:tc>
      </w:tr>
    </w:tbl>
    <w:p w:rsidR="00B368E1" w:rsidRPr="00A157D2" w:rsidRDefault="00B368E1" w:rsidP="00B368E1">
      <w:pPr>
        <w:rPr>
          <w:rFonts w:ascii="Times New Roman" w:hAnsi="Times New Roman" w:cs="Times New Roman"/>
          <w:szCs w:val="24"/>
          <w:shd w:val="clear" w:color="auto" w:fill="FFFFFF"/>
        </w:rPr>
      </w:pPr>
    </w:p>
    <w:p w:rsidR="00D34B37" w:rsidRDefault="00D34B37"/>
    <w:sectPr w:rsidR="00D34B37" w:rsidSect="00750DD0">
      <w:footerReference w:type="default" r:id="rId4"/>
      <w:pgSz w:w="12240" w:h="15840"/>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78412"/>
      <w:docPartObj>
        <w:docPartGallery w:val="Page Numbers (Bottom of Page)"/>
        <w:docPartUnique/>
      </w:docPartObj>
    </w:sdtPr>
    <w:sdtEndPr/>
    <w:sdtContent>
      <w:p w:rsidR="00DE4F94" w:rsidRDefault="00B368E1">
        <w:pPr>
          <w:pStyle w:val="Fuzeile"/>
          <w:jc w:val="center"/>
        </w:pPr>
        <w:r>
          <w:fldChar w:fldCharType="begin"/>
        </w:r>
        <w:r>
          <w:instrText>PAGE   \* MERGEFORMAT</w:instrText>
        </w:r>
        <w:r>
          <w:fldChar w:fldCharType="separate"/>
        </w:r>
        <w:r w:rsidRPr="00B368E1">
          <w:rPr>
            <w:noProof/>
            <w:lang w:val="de-DE"/>
          </w:rPr>
          <w:t>2</w:t>
        </w:r>
        <w:r>
          <w:fldChar w:fldCharType="end"/>
        </w:r>
      </w:p>
    </w:sdtContent>
  </w:sdt>
  <w:p w:rsidR="00DE4F94" w:rsidRDefault="00B368E1">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E1"/>
    <w:rsid w:val="00000CB6"/>
    <w:rsid w:val="00002FE3"/>
    <w:rsid w:val="00007A0C"/>
    <w:rsid w:val="00007C13"/>
    <w:rsid w:val="000145DD"/>
    <w:rsid w:val="000269EB"/>
    <w:rsid w:val="00032E27"/>
    <w:rsid w:val="00043632"/>
    <w:rsid w:val="000459D0"/>
    <w:rsid w:val="00053F8E"/>
    <w:rsid w:val="000563F5"/>
    <w:rsid w:val="00066D14"/>
    <w:rsid w:val="00067221"/>
    <w:rsid w:val="000722F7"/>
    <w:rsid w:val="000849EC"/>
    <w:rsid w:val="000857F2"/>
    <w:rsid w:val="00090CA8"/>
    <w:rsid w:val="00090D1D"/>
    <w:rsid w:val="000920F0"/>
    <w:rsid w:val="00093785"/>
    <w:rsid w:val="00097898"/>
    <w:rsid w:val="000A37D5"/>
    <w:rsid w:val="000A3D08"/>
    <w:rsid w:val="000B0480"/>
    <w:rsid w:val="000B34CF"/>
    <w:rsid w:val="000C186E"/>
    <w:rsid w:val="000C755B"/>
    <w:rsid w:val="000D5DD2"/>
    <w:rsid w:val="000D6932"/>
    <w:rsid w:val="000E6492"/>
    <w:rsid w:val="000F5312"/>
    <w:rsid w:val="000F72AC"/>
    <w:rsid w:val="00101D1A"/>
    <w:rsid w:val="00102625"/>
    <w:rsid w:val="0011634F"/>
    <w:rsid w:val="00124EF7"/>
    <w:rsid w:val="0012527A"/>
    <w:rsid w:val="00126A7B"/>
    <w:rsid w:val="00133955"/>
    <w:rsid w:val="00142668"/>
    <w:rsid w:val="00142C24"/>
    <w:rsid w:val="00155D03"/>
    <w:rsid w:val="00160AED"/>
    <w:rsid w:val="00161C0B"/>
    <w:rsid w:val="00163D26"/>
    <w:rsid w:val="00171BA9"/>
    <w:rsid w:val="00175BC8"/>
    <w:rsid w:val="00177A87"/>
    <w:rsid w:val="001858C2"/>
    <w:rsid w:val="0018687C"/>
    <w:rsid w:val="001A1882"/>
    <w:rsid w:val="001A2C8B"/>
    <w:rsid w:val="001A4C91"/>
    <w:rsid w:val="001A59AA"/>
    <w:rsid w:val="001A5C06"/>
    <w:rsid w:val="001A774F"/>
    <w:rsid w:val="001C2D5C"/>
    <w:rsid w:val="001C3E21"/>
    <w:rsid w:val="001D1519"/>
    <w:rsid w:val="001E7B1C"/>
    <w:rsid w:val="00201C13"/>
    <w:rsid w:val="00203200"/>
    <w:rsid w:val="00206212"/>
    <w:rsid w:val="00216F23"/>
    <w:rsid w:val="00224A36"/>
    <w:rsid w:val="0022595E"/>
    <w:rsid w:val="00227B44"/>
    <w:rsid w:val="002350AB"/>
    <w:rsid w:val="00240F14"/>
    <w:rsid w:val="00247F73"/>
    <w:rsid w:val="00252968"/>
    <w:rsid w:val="002564ED"/>
    <w:rsid w:val="0026015A"/>
    <w:rsid w:val="00265A0C"/>
    <w:rsid w:val="00271F34"/>
    <w:rsid w:val="00272E6D"/>
    <w:rsid w:val="00281D19"/>
    <w:rsid w:val="00282B73"/>
    <w:rsid w:val="002830CE"/>
    <w:rsid w:val="002848A0"/>
    <w:rsid w:val="0028514E"/>
    <w:rsid w:val="00285827"/>
    <w:rsid w:val="00297D59"/>
    <w:rsid w:val="002A0D88"/>
    <w:rsid w:val="002A4ED1"/>
    <w:rsid w:val="002B0DA1"/>
    <w:rsid w:val="002B29C9"/>
    <w:rsid w:val="002B66CF"/>
    <w:rsid w:val="002B6D00"/>
    <w:rsid w:val="002C11A4"/>
    <w:rsid w:val="002C442B"/>
    <w:rsid w:val="002D1982"/>
    <w:rsid w:val="002D1F67"/>
    <w:rsid w:val="002D5C83"/>
    <w:rsid w:val="002E2115"/>
    <w:rsid w:val="002E7F60"/>
    <w:rsid w:val="002F23D1"/>
    <w:rsid w:val="002F5CC0"/>
    <w:rsid w:val="002F6BAB"/>
    <w:rsid w:val="002F7FB0"/>
    <w:rsid w:val="0030496E"/>
    <w:rsid w:val="00312A6A"/>
    <w:rsid w:val="0031626E"/>
    <w:rsid w:val="003172CD"/>
    <w:rsid w:val="00323E2C"/>
    <w:rsid w:val="00327BCB"/>
    <w:rsid w:val="003308A3"/>
    <w:rsid w:val="003311A0"/>
    <w:rsid w:val="0033272B"/>
    <w:rsid w:val="00334E0E"/>
    <w:rsid w:val="00335C07"/>
    <w:rsid w:val="003368C5"/>
    <w:rsid w:val="00336E0D"/>
    <w:rsid w:val="00337176"/>
    <w:rsid w:val="00343902"/>
    <w:rsid w:val="0034631D"/>
    <w:rsid w:val="0034654F"/>
    <w:rsid w:val="00347F8C"/>
    <w:rsid w:val="00350B42"/>
    <w:rsid w:val="003517EC"/>
    <w:rsid w:val="0035330D"/>
    <w:rsid w:val="003562E7"/>
    <w:rsid w:val="003601FC"/>
    <w:rsid w:val="00360B30"/>
    <w:rsid w:val="003660DA"/>
    <w:rsid w:val="00371946"/>
    <w:rsid w:val="00373793"/>
    <w:rsid w:val="00392F4C"/>
    <w:rsid w:val="003A58AD"/>
    <w:rsid w:val="003B28AA"/>
    <w:rsid w:val="003B5716"/>
    <w:rsid w:val="003B6E84"/>
    <w:rsid w:val="003C001C"/>
    <w:rsid w:val="003C345F"/>
    <w:rsid w:val="003C38B3"/>
    <w:rsid w:val="003C5080"/>
    <w:rsid w:val="003E26A0"/>
    <w:rsid w:val="003E389A"/>
    <w:rsid w:val="003E4A06"/>
    <w:rsid w:val="003E748A"/>
    <w:rsid w:val="003F719D"/>
    <w:rsid w:val="004262DF"/>
    <w:rsid w:val="00426564"/>
    <w:rsid w:val="00431C78"/>
    <w:rsid w:val="00444190"/>
    <w:rsid w:val="00445942"/>
    <w:rsid w:val="00451E01"/>
    <w:rsid w:val="00456EA6"/>
    <w:rsid w:val="004658EE"/>
    <w:rsid w:val="004774EE"/>
    <w:rsid w:val="004822B9"/>
    <w:rsid w:val="00492D9A"/>
    <w:rsid w:val="00496782"/>
    <w:rsid w:val="004A1BC8"/>
    <w:rsid w:val="004A48A4"/>
    <w:rsid w:val="004A4BFF"/>
    <w:rsid w:val="004A5344"/>
    <w:rsid w:val="004B059D"/>
    <w:rsid w:val="004B551A"/>
    <w:rsid w:val="004C1DD0"/>
    <w:rsid w:val="004C5188"/>
    <w:rsid w:val="004C7CC3"/>
    <w:rsid w:val="004D102C"/>
    <w:rsid w:val="004D74A4"/>
    <w:rsid w:val="004E191A"/>
    <w:rsid w:val="004E4306"/>
    <w:rsid w:val="004F1652"/>
    <w:rsid w:val="004F499D"/>
    <w:rsid w:val="004F5F4D"/>
    <w:rsid w:val="004F78AB"/>
    <w:rsid w:val="00500F27"/>
    <w:rsid w:val="005062F2"/>
    <w:rsid w:val="00514E78"/>
    <w:rsid w:val="0051508C"/>
    <w:rsid w:val="005158D3"/>
    <w:rsid w:val="005217FD"/>
    <w:rsid w:val="00532DEA"/>
    <w:rsid w:val="00543928"/>
    <w:rsid w:val="00544BC2"/>
    <w:rsid w:val="00562B6D"/>
    <w:rsid w:val="005714B9"/>
    <w:rsid w:val="00576A23"/>
    <w:rsid w:val="005A1747"/>
    <w:rsid w:val="005A4599"/>
    <w:rsid w:val="005A4D6C"/>
    <w:rsid w:val="005B0483"/>
    <w:rsid w:val="005B63F9"/>
    <w:rsid w:val="005C39A0"/>
    <w:rsid w:val="005C5064"/>
    <w:rsid w:val="005C788A"/>
    <w:rsid w:val="005D1369"/>
    <w:rsid w:val="005D268D"/>
    <w:rsid w:val="005D57CE"/>
    <w:rsid w:val="005E2EC5"/>
    <w:rsid w:val="005E5BD5"/>
    <w:rsid w:val="006013AA"/>
    <w:rsid w:val="006013E1"/>
    <w:rsid w:val="00603AB2"/>
    <w:rsid w:val="00603CC2"/>
    <w:rsid w:val="00603CC3"/>
    <w:rsid w:val="006069C9"/>
    <w:rsid w:val="00610653"/>
    <w:rsid w:val="006137C8"/>
    <w:rsid w:val="00620E3F"/>
    <w:rsid w:val="00622C81"/>
    <w:rsid w:val="00630730"/>
    <w:rsid w:val="00632604"/>
    <w:rsid w:val="006334CD"/>
    <w:rsid w:val="006434B7"/>
    <w:rsid w:val="00651EB1"/>
    <w:rsid w:val="00654151"/>
    <w:rsid w:val="006558A0"/>
    <w:rsid w:val="0066485D"/>
    <w:rsid w:val="00664977"/>
    <w:rsid w:val="00667B96"/>
    <w:rsid w:val="00671E4B"/>
    <w:rsid w:val="0067772E"/>
    <w:rsid w:val="00681D45"/>
    <w:rsid w:val="006829A7"/>
    <w:rsid w:val="006938B6"/>
    <w:rsid w:val="00695697"/>
    <w:rsid w:val="006A211D"/>
    <w:rsid w:val="006A4AAB"/>
    <w:rsid w:val="006B3115"/>
    <w:rsid w:val="006C6A4F"/>
    <w:rsid w:val="006D2104"/>
    <w:rsid w:val="006D7853"/>
    <w:rsid w:val="006E32F1"/>
    <w:rsid w:val="006F205D"/>
    <w:rsid w:val="006F5B2E"/>
    <w:rsid w:val="00700968"/>
    <w:rsid w:val="0070251A"/>
    <w:rsid w:val="007054FF"/>
    <w:rsid w:val="00715D58"/>
    <w:rsid w:val="007163F5"/>
    <w:rsid w:val="00726EAF"/>
    <w:rsid w:val="00736B0A"/>
    <w:rsid w:val="00740C8F"/>
    <w:rsid w:val="00742510"/>
    <w:rsid w:val="00745216"/>
    <w:rsid w:val="007468B5"/>
    <w:rsid w:val="007508B2"/>
    <w:rsid w:val="00751D7C"/>
    <w:rsid w:val="0075603E"/>
    <w:rsid w:val="0076203B"/>
    <w:rsid w:val="00777F96"/>
    <w:rsid w:val="007803C5"/>
    <w:rsid w:val="00781EDD"/>
    <w:rsid w:val="0078462F"/>
    <w:rsid w:val="00787EFC"/>
    <w:rsid w:val="0079157F"/>
    <w:rsid w:val="00792CB5"/>
    <w:rsid w:val="00796E2D"/>
    <w:rsid w:val="007A235E"/>
    <w:rsid w:val="007A31DF"/>
    <w:rsid w:val="007A63E8"/>
    <w:rsid w:val="007C032F"/>
    <w:rsid w:val="007C54B1"/>
    <w:rsid w:val="007C670B"/>
    <w:rsid w:val="007C6C97"/>
    <w:rsid w:val="007D1612"/>
    <w:rsid w:val="007D388F"/>
    <w:rsid w:val="007E0C44"/>
    <w:rsid w:val="007F3B1C"/>
    <w:rsid w:val="007F7FA4"/>
    <w:rsid w:val="00807ECF"/>
    <w:rsid w:val="00810168"/>
    <w:rsid w:val="00815254"/>
    <w:rsid w:val="00816025"/>
    <w:rsid w:val="0082152B"/>
    <w:rsid w:val="00821A6B"/>
    <w:rsid w:val="00822BC2"/>
    <w:rsid w:val="00822C5E"/>
    <w:rsid w:val="00823794"/>
    <w:rsid w:val="00823E3C"/>
    <w:rsid w:val="00831552"/>
    <w:rsid w:val="00835742"/>
    <w:rsid w:val="008366B5"/>
    <w:rsid w:val="008411D4"/>
    <w:rsid w:val="008440A3"/>
    <w:rsid w:val="008454C0"/>
    <w:rsid w:val="00852C90"/>
    <w:rsid w:val="00854B28"/>
    <w:rsid w:val="00860D8F"/>
    <w:rsid w:val="0087001E"/>
    <w:rsid w:val="008740CE"/>
    <w:rsid w:val="0087649F"/>
    <w:rsid w:val="008914FA"/>
    <w:rsid w:val="00896C0D"/>
    <w:rsid w:val="008A0538"/>
    <w:rsid w:val="008A0C43"/>
    <w:rsid w:val="008A129B"/>
    <w:rsid w:val="008A32DE"/>
    <w:rsid w:val="008A4BE7"/>
    <w:rsid w:val="008B2835"/>
    <w:rsid w:val="008B4DC3"/>
    <w:rsid w:val="008B706E"/>
    <w:rsid w:val="008D1125"/>
    <w:rsid w:val="008D2621"/>
    <w:rsid w:val="008E2600"/>
    <w:rsid w:val="008E45CD"/>
    <w:rsid w:val="008E6371"/>
    <w:rsid w:val="00900B30"/>
    <w:rsid w:val="00905E2F"/>
    <w:rsid w:val="009142B8"/>
    <w:rsid w:val="009163D4"/>
    <w:rsid w:val="0092296B"/>
    <w:rsid w:val="009276D1"/>
    <w:rsid w:val="00935265"/>
    <w:rsid w:val="00943EFB"/>
    <w:rsid w:val="0094588B"/>
    <w:rsid w:val="009476C8"/>
    <w:rsid w:val="00950147"/>
    <w:rsid w:val="00953165"/>
    <w:rsid w:val="009655AA"/>
    <w:rsid w:val="00967234"/>
    <w:rsid w:val="0096788B"/>
    <w:rsid w:val="00967CD3"/>
    <w:rsid w:val="00973DEB"/>
    <w:rsid w:val="009813DE"/>
    <w:rsid w:val="0098598C"/>
    <w:rsid w:val="00990D79"/>
    <w:rsid w:val="00990F17"/>
    <w:rsid w:val="00992F85"/>
    <w:rsid w:val="009939CC"/>
    <w:rsid w:val="009A03B8"/>
    <w:rsid w:val="009A215D"/>
    <w:rsid w:val="009A498C"/>
    <w:rsid w:val="009B23B2"/>
    <w:rsid w:val="009B77A4"/>
    <w:rsid w:val="009C7F41"/>
    <w:rsid w:val="009D27B4"/>
    <w:rsid w:val="009D7042"/>
    <w:rsid w:val="009E1FA4"/>
    <w:rsid w:val="009E41F2"/>
    <w:rsid w:val="009F18DB"/>
    <w:rsid w:val="00A0405C"/>
    <w:rsid w:val="00A04A37"/>
    <w:rsid w:val="00A13F5A"/>
    <w:rsid w:val="00A1680A"/>
    <w:rsid w:val="00A17D5D"/>
    <w:rsid w:val="00A21439"/>
    <w:rsid w:val="00A262A0"/>
    <w:rsid w:val="00A35DF7"/>
    <w:rsid w:val="00A40DCC"/>
    <w:rsid w:val="00A411BA"/>
    <w:rsid w:val="00A50152"/>
    <w:rsid w:val="00A52E5C"/>
    <w:rsid w:val="00A53ADF"/>
    <w:rsid w:val="00A57139"/>
    <w:rsid w:val="00A57767"/>
    <w:rsid w:val="00A644B5"/>
    <w:rsid w:val="00A80A9E"/>
    <w:rsid w:val="00A8148B"/>
    <w:rsid w:val="00A83AA6"/>
    <w:rsid w:val="00A86CDA"/>
    <w:rsid w:val="00A87B21"/>
    <w:rsid w:val="00A87DC6"/>
    <w:rsid w:val="00A94F82"/>
    <w:rsid w:val="00A95F4D"/>
    <w:rsid w:val="00AA0CB7"/>
    <w:rsid w:val="00AB5764"/>
    <w:rsid w:val="00AC2CF7"/>
    <w:rsid w:val="00AD11F7"/>
    <w:rsid w:val="00AE6303"/>
    <w:rsid w:val="00AF067E"/>
    <w:rsid w:val="00AF53E0"/>
    <w:rsid w:val="00B01297"/>
    <w:rsid w:val="00B02853"/>
    <w:rsid w:val="00B05D5F"/>
    <w:rsid w:val="00B103A4"/>
    <w:rsid w:val="00B12286"/>
    <w:rsid w:val="00B137F6"/>
    <w:rsid w:val="00B15F18"/>
    <w:rsid w:val="00B209BD"/>
    <w:rsid w:val="00B2370C"/>
    <w:rsid w:val="00B30C7E"/>
    <w:rsid w:val="00B34FA2"/>
    <w:rsid w:val="00B368E1"/>
    <w:rsid w:val="00B44D67"/>
    <w:rsid w:val="00B47C3A"/>
    <w:rsid w:val="00B5032F"/>
    <w:rsid w:val="00B53105"/>
    <w:rsid w:val="00B61635"/>
    <w:rsid w:val="00B63B1D"/>
    <w:rsid w:val="00B65E46"/>
    <w:rsid w:val="00B66AC3"/>
    <w:rsid w:val="00B675BD"/>
    <w:rsid w:val="00B67AB0"/>
    <w:rsid w:val="00B8101C"/>
    <w:rsid w:val="00B8622B"/>
    <w:rsid w:val="00B92E73"/>
    <w:rsid w:val="00B96EF7"/>
    <w:rsid w:val="00BA4AB7"/>
    <w:rsid w:val="00BA57E9"/>
    <w:rsid w:val="00BB37E2"/>
    <w:rsid w:val="00BC25D2"/>
    <w:rsid w:val="00BD0A53"/>
    <w:rsid w:val="00BD0F58"/>
    <w:rsid w:val="00BD3CEE"/>
    <w:rsid w:val="00BE128B"/>
    <w:rsid w:val="00BF1136"/>
    <w:rsid w:val="00BF21B6"/>
    <w:rsid w:val="00BF58A0"/>
    <w:rsid w:val="00BF64BE"/>
    <w:rsid w:val="00C03C47"/>
    <w:rsid w:val="00C0423D"/>
    <w:rsid w:val="00C065EC"/>
    <w:rsid w:val="00C15BB7"/>
    <w:rsid w:val="00C22D55"/>
    <w:rsid w:val="00C22F89"/>
    <w:rsid w:val="00C2568B"/>
    <w:rsid w:val="00C2595D"/>
    <w:rsid w:val="00C337FB"/>
    <w:rsid w:val="00C36686"/>
    <w:rsid w:val="00C370E2"/>
    <w:rsid w:val="00C4435B"/>
    <w:rsid w:val="00C4685E"/>
    <w:rsid w:val="00C47D4A"/>
    <w:rsid w:val="00C507E1"/>
    <w:rsid w:val="00C62D2A"/>
    <w:rsid w:val="00C81CB6"/>
    <w:rsid w:val="00C83283"/>
    <w:rsid w:val="00C837E6"/>
    <w:rsid w:val="00C84B45"/>
    <w:rsid w:val="00C95FE3"/>
    <w:rsid w:val="00CB3FB1"/>
    <w:rsid w:val="00CC1817"/>
    <w:rsid w:val="00CC4038"/>
    <w:rsid w:val="00CC6264"/>
    <w:rsid w:val="00CD56A6"/>
    <w:rsid w:val="00CE2737"/>
    <w:rsid w:val="00CF04D9"/>
    <w:rsid w:val="00CF0EA2"/>
    <w:rsid w:val="00D05CB4"/>
    <w:rsid w:val="00D076EA"/>
    <w:rsid w:val="00D11DB3"/>
    <w:rsid w:val="00D147A2"/>
    <w:rsid w:val="00D149A2"/>
    <w:rsid w:val="00D16A4C"/>
    <w:rsid w:val="00D22C84"/>
    <w:rsid w:val="00D2541E"/>
    <w:rsid w:val="00D345DB"/>
    <w:rsid w:val="00D34B37"/>
    <w:rsid w:val="00D37A3D"/>
    <w:rsid w:val="00D46356"/>
    <w:rsid w:val="00D556A1"/>
    <w:rsid w:val="00D632BB"/>
    <w:rsid w:val="00D636B9"/>
    <w:rsid w:val="00D64643"/>
    <w:rsid w:val="00D66116"/>
    <w:rsid w:val="00D82431"/>
    <w:rsid w:val="00D8272E"/>
    <w:rsid w:val="00D92A39"/>
    <w:rsid w:val="00D93CD4"/>
    <w:rsid w:val="00D943A9"/>
    <w:rsid w:val="00D95FCF"/>
    <w:rsid w:val="00D966D6"/>
    <w:rsid w:val="00D97DE4"/>
    <w:rsid w:val="00DA4436"/>
    <w:rsid w:val="00DA4EC9"/>
    <w:rsid w:val="00DA62AF"/>
    <w:rsid w:val="00DA6A76"/>
    <w:rsid w:val="00DB176C"/>
    <w:rsid w:val="00DB3434"/>
    <w:rsid w:val="00DC25DE"/>
    <w:rsid w:val="00DC4268"/>
    <w:rsid w:val="00DC6100"/>
    <w:rsid w:val="00DD1D7B"/>
    <w:rsid w:val="00DD5987"/>
    <w:rsid w:val="00DD68D1"/>
    <w:rsid w:val="00DE1D7E"/>
    <w:rsid w:val="00DE5383"/>
    <w:rsid w:val="00DE5643"/>
    <w:rsid w:val="00DE7A54"/>
    <w:rsid w:val="00DF0D3F"/>
    <w:rsid w:val="00DF6E72"/>
    <w:rsid w:val="00E03C4A"/>
    <w:rsid w:val="00E04C61"/>
    <w:rsid w:val="00E07534"/>
    <w:rsid w:val="00E12B78"/>
    <w:rsid w:val="00E13915"/>
    <w:rsid w:val="00E1498C"/>
    <w:rsid w:val="00E24640"/>
    <w:rsid w:val="00E248B4"/>
    <w:rsid w:val="00E430D0"/>
    <w:rsid w:val="00E43BE6"/>
    <w:rsid w:val="00E6098A"/>
    <w:rsid w:val="00E62857"/>
    <w:rsid w:val="00E70C1F"/>
    <w:rsid w:val="00E7128C"/>
    <w:rsid w:val="00E75033"/>
    <w:rsid w:val="00E832EE"/>
    <w:rsid w:val="00E839CA"/>
    <w:rsid w:val="00E83B8F"/>
    <w:rsid w:val="00EA16C9"/>
    <w:rsid w:val="00EA1EF6"/>
    <w:rsid w:val="00ED0FD1"/>
    <w:rsid w:val="00ED440F"/>
    <w:rsid w:val="00EE0E0B"/>
    <w:rsid w:val="00EF7F54"/>
    <w:rsid w:val="00F02460"/>
    <w:rsid w:val="00F027D2"/>
    <w:rsid w:val="00F104CA"/>
    <w:rsid w:val="00F157C1"/>
    <w:rsid w:val="00F16706"/>
    <w:rsid w:val="00F17850"/>
    <w:rsid w:val="00F2621D"/>
    <w:rsid w:val="00F33E7F"/>
    <w:rsid w:val="00F34744"/>
    <w:rsid w:val="00F355B0"/>
    <w:rsid w:val="00F37FC3"/>
    <w:rsid w:val="00F408E8"/>
    <w:rsid w:val="00F45A45"/>
    <w:rsid w:val="00F4707A"/>
    <w:rsid w:val="00F521A7"/>
    <w:rsid w:val="00F52631"/>
    <w:rsid w:val="00F5648A"/>
    <w:rsid w:val="00F56750"/>
    <w:rsid w:val="00F60509"/>
    <w:rsid w:val="00F654C5"/>
    <w:rsid w:val="00F70EC1"/>
    <w:rsid w:val="00F80784"/>
    <w:rsid w:val="00F839FB"/>
    <w:rsid w:val="00F85B8F"/>
    <w:rsid w:val="00F85E34"/>
    <w:rsid w:val="00F87C5B"/>
    <w:rsid w:val="00F9590F"/>
    <w:rsid w:val="00FA3566"/>
    <w:rsid w:val="00FB22C0"/>
    <w:rsid w:val="00FC2C59"/>
    <w:rsid w:val="00FC781A"/>
    <w:rsid w:val="00FC7836"/>
    <w:rsid w:val="00FD0942"/>
    <w:rsid w:val="00FD4A4F"/>
    <w:rsid w:val="00FE10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69E20-FB73-46A2-9571-2D36F8C2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8E1"/>
    <w:pPr>
      <w:spacing w:line="360" w:lineRule="auto"/>
    </w:pPr>
    <w:rPr>
      <w:rFonts w:ascii="Arial" w:hAnsi="Arial" w:cs="Arial"/>
      <w:sz w:val="24"/>
    </w:rPr>
  </w:style>
  <w:style w:type="paragraph" w:styleId="berschrift1">
    <w:name w:val="heading 1"/>
    <w:basedOn w:val="Standard"/>
    <w:next w:val="Standard"/>
    <w:link w:val="berschrift1Zchn"/>
    <w:uiPriority w:val="9"/>
    <w:qFormat/>
    <w:rsid w:val="00B368E1"/>
    <w:pPr>
      <w:keepNext/>
      <w:keepLines/>
      <w:spacing w:before="240" w:after="0"/>
      <w:outlineLvl w:val="0"/>
    </w:pPr>
    <w:rPr>
      <w:rFonts w:eastAsiaTheme="majorEastAsia"/>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68E1"/>
    <w:rPr>
      <w:rFonts w:ascii="Arial" w:eastAsiaTheme="majorEastAsia" w:hAnsi="Arial" w:cs="Arial"/>
      <w:b/>
      <w:sz w:val="28"/>
      <w:szCs w:val="28"/>
    </w:rPr>
  </w:style>
  <w:style w:type="paragraph" w:styleId="Fuzeile">
    <w:name w:val="footer"/>
    <w:basedOn w:val="Standard"/>
    <w:link w:val="FuzeileZchn"/>
    <w:uiPriority w:val="99"/>
    <w:unhideWhenUsed/>
    <w:rsid w:val="00B368E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368E1"/>
    <w:rPr>
      <w:rFonts w:ascii="Arial" w:hAnsi="Arial" w:cs="Arial"/>
      <w:sz w:val="24"/>
    </w:rPr>
  </w:style>
  <w:style w:type="table" w:styleId="Tabellenraster">
    <w:name w:val="Table Grid"/>
    <w:basedOn w:val="NormaleTabelle"/>
    <w:uiPriority w:val="39"/>
    <w:rsid w:val="00B3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B368E1"/>
    <w:pPr>
      <w:spacing w:after="480" w:line="240" w:lineRule="auto"/>
    </w:pPr>
    <w:rPr>
      <w:i/>
      <w:iCs/>
      <w:szCs w:val="18"/>
    </w:rPr>
  </w:style>
  <w:style w:type="character" w:styleId="Zeilennummer">
    <w:name w:val="line number"/>
    <w:basedOn w:val="Absatz-Standardschriftart"/>
    <w:uiPriority w:val="99"/>
    <w:semiHidden/>
    <w:unhideWhenUsed/>
    <w:rsid w:val="00B3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dc:creator>
  <cp:keywords/>
  <dc:description/>
  <cp:lastModifiedBy>Cui</cp:lastModifiedBy>
  <cp:revision>1</cp:revision>
  <dcterms:created xsi:type="dcterms:W3CDTF">2016-04-06T16:39:00Z</dcterms:created>
  <dcterms:modified xsi:type="dcterms:W3CDTF">2016-04-06T16:40:00Z</dcterms:modified>
</cp:coreProperties>
</file>