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413A" w:rsidRDefault="007C41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A: </w:t>
      </w:r>
      <w:r w:rsidR="004D280D">
        <w:rPr>
          <w:b/>
          <w:sz w:val="24"/>
          <w:szCs w:val="24"/>
        </w:rPr>
        <w:t xml:space="preserve">Examples of </w:t>
      </w:r>
      <w:r>
        <w:rPr>
          <w:b/>
          <w:sz w:val="24"/>
          <w:szCs w:val="24"/>
        </w:rPr>
        <w:t>Detailed Search Strategies</w:t>
      </w:r>
    </w:p>
    <w:p w:rsidR="007C413A" w:rsidRDefault="007C413A" w:rsidP="007C41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13A" w:rsidRPr="007C413A" w:rsidRDefault="007C413A" w:rsidP="007C41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b/>
          <w:sz w:val="24"/>
          <w:szCs w:val="24"/>
        </w:rPr>
        <w:t>Medline and Central (via Ovid)</w:t>
      </w:r>
    </w:p>
    <w:p w:rsidR="007C413A" w:rsidRPr="007C413A" w:rsidRDefault="007C413A" w:rsidP="007C41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1    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neonat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*.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(9409)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2    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Infant, Newborn/ or infant*.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. (33861)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>3     newborn*.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(14783)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4     1 or 2 or 3 (38396)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5    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Probiotics/ or probiotic*.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. (1847)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6    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delbrueckii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lactobacillus.mp. </w:t>
      </w: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plantarum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fermentum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leichmannii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casei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helveticus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rhamnosus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acidophilus/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reuteri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brevis/ (1705)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>7     bifidobacterium.mp.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Bifidobacterium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/ (737)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8    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Saccharomyces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cerevisiae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Saccharomyces/ or saccharomyces.mp. (209)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9     5 or 6 or 7 or 8 (2792)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10     4 and 9 (704)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11     limit 10 to controlled clinical trial (22)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12     limit 10 to randomized controlled trial (400)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13     11 or 12 (418)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14     limit 13 to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="2013 -Current" (32)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>15     necrotizing enterocolitis.mp.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Enterocolitis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, Necrotizing/ (430)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16    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necrotising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enterocolitis.mp.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(60)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17     15 or 16 (472)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18     limit 17 to controlled clinical trial (28)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19     limit 17 to randomized controlled trial (233)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20     18 or 19 (261)</w:t>
      </w:r>
    </w:p>
    <w:p w:rsidR="007C413A" w:rsidRPr="00AC70BD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21     limit 20 to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="2013 -Current" (19)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22     14 or 21 (48)</w:t>
      </w:r>
    </w:p>
    <w:p w:rsidR="007C413A" w:rsidRPr="007C413A" w:rsidRDefault="007C413A" w:rsidP="007C41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413A" w:rsidRPr="007C413A" w:rsidRDefault="007C413A" w:rsidP="007C41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413A" w:rsidRPr="007C413A" w:rsidRDefault="007C413A" w:rsidP="00E87FE8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C413A">
        <w:rPr>
          <w:rFonts w:ascii="Times New Roman" w:eastAsia="Times New Roman" w:hAnsi="Times New Roman" w:cs="Times New Roman"/>
          <w:b/>
          <w:sz w:val="24"/>
          <w:szCs w:val="24"/>
        </w:rPr>
        <w:t>Embase</w:t>
      </w:r>
      <w:proofErr w:type="spellEnd"/>
      <w:r w:rsidRPr="007C413A">
        <w:rPr>
          <w:rFonts w:ascii="Times New Roman" w:eastAsia="Times New Roman" w:hAnsi="Times New Roman" w:cs="Times New Roman"/>
          <w:b/>
          <w:sz w:val="24"/>
          <w:szCs w:val="24"/>
        </w:rPr>
        <w:t xml:space="preserve"> (via Ovid)</w:t>
      </w:r>
    </w:p>
    <w:p w:rsidR="007C413A" w:rsidRPr="007C413A" w:rsidRDefault="007C413A" w:rsidP="007C41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1    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probiotic agent/ or probiotic*.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. (21366)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2    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reuteri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helveticus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lactobacillus.mp. </w:t>
      </w: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paracasei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rhamnosus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bifidus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acidophilus/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casei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extract/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Lactobacillus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casei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/ (33651)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>3     bifidobacterium.mp.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Bifidobacterium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breve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extract/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Bifidobacterium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longum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Bifidobacterium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Bifidobacterium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breve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Bifidobacterium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longum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infantis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/ (8405)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4    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Saccharomyces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cerevisiae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Saccharomyces/ or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Saccharomyces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boulardii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/ or saccharomyces.mp. (97029)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5     1 or 2 or 3 or 4 (142940)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6    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prematurity/ or neonate*.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. (161442)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lastRenderedPageBreak/>
        <w:t>7     newborn/ (505429)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8     6 or 7 (569827)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9     5 and 8 (1646)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10     limit 9 to randomized controlled trial (140)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11     limit 9 to controlled clinical trial (100)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12     10 or 11 (160)</w:t>
      </w:r>
    </w:p>
    <w:p w:rsidR="007C413A" w:rsidRPr="00AC70BD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13     limit 12 to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="2013 -Current" (35)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14    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necrotising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enterocolitis.mp.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(952)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>15     necrotizing enterocolitis.mp.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413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 necrotizing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enterocolitis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/ (8591)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16     14 or 15 (9117)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17     limit 16 to randomized controlled trial (460)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18     limit 16 to controlled clinical trial (355)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19     17 or 18 (538)</w:t>
      </w:r>
    </w:p>
    <w:p w:rsidR="007C413A" w:rsidRPr="00AC70BD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 xml:space="preserve">20     limit 19 to </w:t>
      </w:r>
      <w:proofErr w:type="spellStart"/>
      <w:r w:rsidRPr="007C413A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7C413A">
        <w:rPr>
          <w:rFonts w:ascii="Times New Roman" w:eastAsia="Times New Roman" w:hAnsi="Times New Roman" w:cs="Times New Roman"/>
          <w:sz w:val="24"/>
          <w:szCs w:val="24"/>
        </w:rPr>
        <w:t>="2013 -Current" (91)</w:t>
      </w:r>
    </w:p>
    <w:p w:rsidR="007C413A" w:rsidRPr="007C413A" w:rsidRDefault="007C413A" w:rsidP="007C41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sz w:val="24"/>
          <w:szCs w:val="24"/>
        </w:rPr>
        <w:t>21     13 or 20 (115)</w:t>
      </w:r>
    </w:p>
    <w:p w:rsidR="007C413A" w:rsidRPr="007C413A" w:rsidRDefault="007C413A" w:rsidP="007C41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413A" w:rsidRPr="007C413A" w:rsidRDefault="007C413A" w:rsidP="007C41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413A" w:rsidRDefault="007C413A" w:rsidP="007C41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13A">
        <w:rPr>
          <w:rFonts w:ascii="Times New Roman" w:eastAsia="Times New Roman" w:hAnsi="Times New Roman" w:cs="Times New Roman"/>
          <w:b/>
          <w:sz w:val="24"/>
          <w:szCs w:val="24"/>
        </w:rPr>
        <w:t>Conference Meetings</w:t>
      </w:r>
    </w:p>
    <w:p w:rsidR="00156713" w:rsidRDefault="00156713" w:rsidP="007C41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254"/>
        <w:gridCol w:w="6"/>
        <w:gridCol w:w="1260"/>
        <w:gridCol w:w="1350"/>
        <w:gridCol w:w="2070"/>
      </w:tblGrid>
      <w:tr w:rsidR="00156713" w:rsidRPr="00156713" w:rsidTr="00917F69">
        <w:trPr>
          <w:jc w:val="center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Society of Pediatric Research</w:t>
            </w:r>
          </w:p>
        </w:tc>
        <w:tc>
          <w:tcPr>
            <w:tcW w:w="1254" w:type="dxa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713" w:rsidRPr="00156713" w:rsidTr="00917F69">
        <w:trPr>
          <w:jc w:val="center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1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Citations</w:t>
            </w: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Excluded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Included</w:t>
            </w:r>
          </w:p>
        </w:tc>
      </w:tr>
      <w:tr w:rsidR="00156713" w:rsidRPr="00156713" w:rsidTr="00917F69">
        <w:trPr>
          <w:jc w:val="center"/>
        </w:trPr>
        <w:tc>
          <w:tcPr>
            <w:tcW w:w="45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 Academic Societies (PAS)/Asian Society for Pediatric Research</w:t>
            </w:r>
          </w:p>
        </w:tc>
        <w:tc>
          <w:tcPr>
            <w:tcW w:w="1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713" w:rsidRPr="00156713" w:rsidTr="00917F69">
        <w:trPr>
          <w:jc w:val="center"/>
        </w:trPr>
        <w:tc>
          <w:tcPr>
            <w:tcW w:w="4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(titles only)</w:t>
            </w:r>
          </w:p>
        </w:tc>
      </w:tr>
      <w:tr w:rsidR="00156713" w:rsidRPr="00156713" w:rsidTr="00917F69">
        <w:trPr>
          <w:jc w:val="center"/>
        </w:trPr>
        <w:tc>
          <w:tcPr>
            <w:tcW w:w="4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ProPrems</w:t>
            </w:r>
            <w:proofErr w:type="spellEnd"/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data)</w:t>
            </w:r>
          </w:p>
        </w:tc>
      </w:tr>
      <w:tr w:rsidR="00156713" w:rsidRPr="00156713" w:rsidTr="00917F69">
        <w:trPr>
          <w:jc w:val="center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PAS Late-Breaking abstracts</w:t>
            </w:r>
          </w:p>
        </w:tc>
        <w:tc>
          <w:tcPr>
            <w:tcW w:w="1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713" w:rsidRPr="00156713" w:rsidTr="00917F69">
        <w:trPr>
          <w:jc w:val="center"/>
        </w:trPr>
        <w:tc>
          <w:tcPr>
            <w:tcW w:w="45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The Eastern Society for Pediatric Research</w:t>
            </w:r>
          </w:p>
        </w:tc>
        <w:tc>
          <w:tcPr>
            <w:tcW w:w="1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713" w:rsidRPr="00156713" w:rsidTr="00917F69">
        <w:trPr>
          <w:jc w:val="center"/>
        </w:trPr>
        <w:tc>
          <w:tcPr>
            <w:tcW w:w="4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713" w:rsidRPr="00156713" w:rsidTr="00917F69">
        <w:trPr>
          <w:jc w:val="center"/>
        </w:trPr>
        <w:tc>
          <w:tcPr>
            <w:tcW w:w="4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713" w:rsidRPr="00156713" w:rsidTr="00917F69">
        <w:trPr>
          <w:jc w:val="center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The Midwest Society for Pediatric Research</w:t>
            </w:r>
          </w:p>
        </w:tc>
        <w:tc>
          <w:tcPr>
            <w:tcW w:w="1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713" w:rsidRPr="00156713" w:rsidTr="00917F69">
        <w:trPr>
          <w:jc w:val="center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The Southern Society for Pediatric Research</w:t>
            </w:r>
          </w:p>
        </w:tc>
        <w:tc>
          <w:tcPr>
            <w:tcW w:w="1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713" w:rsidRPr="00156713" w:rsidTr="00917F69">
        <w:trPr>
          <w:jc w:val="center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The Western Society for Pediatric Research</w:t>
            </w:r>
          </w:p>
        </w:tc>
        <w:tc>
          <w:tcPr>
            <w:tcW w:w="1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Not searchable online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713" w:rsidRPr="007C413A" w:rsidRDefault="00156713" w:rsidP="007C413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13A" w:rsidRPr="007C413A" w:rsidRDefault="007C413A" w:rsidP="007C413A">
      <w:pPr>
        <w:rPr>
          <w:szCs w:val="20"/>
        </w:rPr>
      </w:pPr>
      <w:bookmarkStart w:id="0" w:name="h.f4immwdlvlt4" w:colFirst="0" w:colLast="0"/>
      <w:bookmarkEnd w:id="0"/>
    </w:p>
    <w:tbl>
      <w:tblPr>
        <w:tblW w:w="10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764"/>
        <w:gridCol w:w="2054"/>
        <w:gridCol w:w="1844"/>
        <w:gridCol w:w="1488"/>
        <w:gridCol w:w="1488"/>
      </w:tblGrid>
      <w:tr w:rsidR="00156713" w:rsidRPr="00156713" w:rsidTr="00917F69">
        <w:trPr>
          <w:jc w:val="center"/>
        </w:trPr>
        <w:tc>
          <w:tcPr>
            <w:tcW w:w="37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European Society of Pediatric Research</w:t>
            </w:r>
          </w:p>
        </w:tc>
        <w:tc>
          <w:tcPr>
            <w:tcW w:w="2054" w:type="dxa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13" w:rsidRPr="00156713" w:rsidTr="00917F69">
        <w:trPr>
          <w:jc w:val="center"/>
        </w:trPr>
        <w:tc>
          <w:tcPr>
            <w:tcW w:w="37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2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Citations</w:t>
            </w:r>
          </w:p>
        </w:tc>
        <w:tc>
          <w:tcPr>
            <w:tcW w:w="1488" w:type="dxa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Excluded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Included</w:t>
            </w:r>
          </w:p>
        </w:tc>
      </w:tr>
      <w:tr w:rsidR="00156713" w:rsidRPr="00156713" w:rsidTr="00917F69">
        <w:trPr>
          <w:trHeight w:val="213"/>
          <w:jc w:val="center"/>
        </w:trPr>
        <w:tc>
          <w:tcPr>
            <w:tcW w:w="376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European Academy of </w:t>
            </w:r>
            <w:proofErr w:type="spellStart"/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Paediatric</w:t>
            </w:r>
            <w:proofErr w:type="spellEnd"/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Societies </w:t>
            </w:r>
          </w:p>
        </w:tc>
        <w:tc>
          <w:tcPr>
            <w:tcW w:w="2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713" w:rsidRPr="00156713" w:rsidTr="00917F69">
        <w:trPr>
          <w:trHeight w:val="213"/>
          <w:jc w:val="center"/>
        </w:trPr>
        <w:tc>
          <w:tcPr>
            <w:tcW w:w="37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713" w:rsidRPr="00156713" w:rsidRDefault="00156713" w:rsidP="00156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713" w:rsidRPr="00156713" w:rsidRDefault="00156713" w:rsidP="0015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13A" w:rsidRPr="007C413A" w:rsidRDefault="007C413A" w:rsidP="007C413A">
      <w:pPr>
        <w:rPr>
          <w:szCs w:val="20"/>
        </w:rPr>
      </w:pPr>
    </w:p>
    <w:tbl>
      <w:tblPr>
        <w:tblW w:w="10380" w:type="dxa"/>
        <w:tblInd w:w="-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2385"/>
        <w:gridCol w:w="1800"/>
        <w:gridCol w:w="1230"/>
        <w:gridCol w:w="1230"/>
      </w:tblGrid>
      <w:tr w:rsidR="00F74493" w:rsidRPr="007C413A" w:rsidTr="00F74493">
        <w:tc>
          <w:tcPr>
            <w:tcW w:w="10380" w:type="dxa"/>
            <w:gridSpan w:val="5"/>
          </w:tcPr>
          <w:p w:rsidR="00F74493" w:rsidRPr="007C413A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Cs w:val="20"/>
              </w:rPr>
              <w:br w:type="page"/>
            </w:r>
            <w:r w:rsidRPr="007C413A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trial registries</w:t>
            </w:r>
          </w:p>
        </w:tc>
      </w:tr>
      <w:tr w:rsidR="00F74493" w:rsidRPr="007C413A" w:rsidTr="00F74493"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493" w:rsidRPr="007C413A" w:rsidRDefault="00F74493" w:rsidP="007C4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Registry Name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4493" w:rsidRPr="007C413A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4493" w:rsidRPr="007C413A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Citations</w:t>
            </w:r>
          </w:p>
        </w:tc>
        <w:tc>
          <w:tcPr>
            <w:tcW w:w="1230" w:type="dxa"/>
          </w:tcPr>
          <w:p w:rsidR="00F74493" w:rsidRPr="00F74493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Excluded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4493" w:rsidRPr="007C413A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Included</w:t>
            </w:r>
          </w:p>
        </w:tc>
      </w:tr>
      <w:tr w:rsidR="00F74493" w:rsidRPr="007C413A" w:rsidTr="00F74493"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493" w:rsidRPr="007C413A" w:rsidRDefault="00F74493" w:rsidP="007C4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A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Health (clinical trials.gov)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4493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3A">
              <w:rPr>
                <w:rFonts w:ascii="Times New Roman" w:eastAsia="Times New Roman" w:hAnsi="Times New Roman" w:cs="Times New Roman"/>
                <w:sz w:val="24"/>
                <w:szCs w:val="24"/>
              </w:rPr>
              <w:t>Jan 2015</w:t>
            </w:r>
          </w:p>
          <w:p w:rsidR="00F74493" w:rsidRPr="007C413A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2016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4493" w:rsidRPr="007C413A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0" w:type="dxa"/>
          </w:tcPr>
          <w:p w:rsidR="00F74493" w:rsidRPr="007C413A" w:rsidRDefault="00EE4010" w:rsidP="007C41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4493" w:rsidRPr="007C413A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493" w:rsidRPr="007C413A" w:rsidTr="00F74493"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493" w:rsidRPr="007C413A" w:rsidRDefault="00F74493" w:rsidP="007C41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International Clinical Trials Registry Platform 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4493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3A">
              <w:rPr>
                <w:rFonts w:ascii="Times New Roman" w:eastAsia="Times New Roman" w:hAnsi="Times New Roman" w:cs="Times New Roman"/>
                <w:sz w:val="24"/>
                <w:szCs w:val="24"/>
              </w:rPr>
              <w:t>Jan 2015</w:t>
            </w:r>
          </w:p>
          <w:p w:rsidR="00F74493" w:rsidRPr="007C413A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2016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4493" w:rsidRPr="007C413A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F74493" w:rsidRPr="007C413A" w:rsidRDefault="00EE4010" w:rsidP="007C41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4493" w:rsidRPr="007C413A" w:rsidRDefault="00F74493" w:rsidP="007C413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13A" w:rsidRPr="007C413A" w:rsidRDefault="007C413A" w:rsidP="007C413A">
      <w:pPr>
        <w:rPr>
          <w:szCs w:val="20"/>
        </w:rPr>
      </w:pPr>
    </w:p>
    <w:p w:rsidR="007C413A" w:rsidRDefault="007C413A" w:rsidP="007C41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413A" w:rsidRDefault="007C413A" w:rsidP="007C413A">
      <w:pPr>
        <w:jc w:val="both"/>
        <w:rPr>
          <w:b/>
          <w:sz w:val="24"/>
          <w:szCs w:val="24"/>
        </w:rPr>
      </w:pPr>
    </w:p>
    <w:p w:rsidR="00867B2F" w:rsidRDefault="00E87FE8">
      <w:r>
        <w:rPr>
          <w:b/>
          <w:sz w:val="24"/>
          <w:szCs w:val="24"/>
        </w:rPr>
        <w:t>Appendix</w:t>
      </w:r>
      <w:r w:rsidR="007C413A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>: List of data extracted from included trials</w:t>
      </w:r>
    </w:p>
    <w:p w:rsidR="00867B2F" w:rsidRDefault="00867B2F"/>
    <w:p w:rsidR="00867B2F" w:rsidRDefault="00E87FE8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Trial Characteristics</w:t>
      </w:r>
    </w:p>
    <w:p w:rsidR="00867B2F" w:rsidRDefault="00867B2F">
      <w:pPr>
        <w:spacing w:line="240" w:lineRule="auto"/>
      </w:pPr>
    </w:p>
    <w:p w:rsidR="00867B2F" w:rsidRDefault="00E87FE8">
      <w:pPr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of participating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countries</w:t>
      </w:r>
    </w:p>
    <w:p w:rsidR="00867B2F" w:rsidRDefault="00E87FE8">
      <w:pPr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inclusion criteria</w:t>
      </w:r>
    </w:p>
    <w:p w:rsidR="00867B2F" w:rsidRDefault="00E87FE8">
      <w:pPr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exclusion criteria</w:t>
      </w:r>
    </w:p>
    <w:p w:rsidR="00867B2F" w:rsidRDefault="00E87FE8">
      <w:pPr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patients eligible/randomized</w:t>
      </w:r>
    </w:p>
    <w:p w:rsidR="00867B2F" w:rsidRDefault="00E87FE8">
      <w:pPr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treatment &amp; follow-up duration</w:t>
      </w:r>
    </w:p>
    <w:p w:rsidR="00867B2F" w:rsidRDefault="00E87FE8">
      <w:pPr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treatment arms in the trials</w:t>
      </w:r>
    </w:p>
    <w:p w:rsidR="00867B2F" w:rsidRDefault="00E87FE8">
      <w:pPr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species of probiotic used and if multiple species or not</w:t>
      </w:r>
    </w:p>
    <w:p w:rsidR="00867B2F" w:rsidRDefault="00E87FE8">
      <w:pPr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timing of probiotic initiation and duration of treatment</w:t>
      </w:r>
    </w:p>
    <w:p w:rsidR="00867B2F" w:rsidRDefault="00E87FE8">
      <w:pPr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ethics and consent</w:t>
      </w:r>
    </w:p>
    <w:p w:rsidR="00867B2F" w:rsidRDefault="00E87FE8">
      <w:pPr>
        <w:numPr>
          <w:ilvl w:val="0"/>
          <w:numId w:val="2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source</w:t>
      </w:r>
    </w:p>
    <w:p w:rsidR="00867B2F" w:rsidRDefault="00E87FE8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Participant Characteristics</w:t>
      </w:r>
    </w:p>
    <w:p w:rsidR="00867B2F" w:rsidRDefault="00E87FE8">
      <w:pPr>
        <w:numPr>
          <w:ilvl w:val="0"/>
          <w:numId w:val="3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patients randomized and with available outcome data</w:t>
      </w:r>
    </w:p>
    <w:p w:rsidR="00867B2F" w:rsidRDefault="00E87FE8">
      <w:pPr>
        <w:numPr>
          <w:ilvl w:val="0"/>
          <w:numId w:val="3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gestational age and weight </w:t>
      </w:r>
    </w:p>
    <w:p w:rsidR="00867B2F" w:rsidRDefault="00E87FE8">
      <w:pPr>
        <w:numPr>
          <w:ilvl w:val="0"/>
          <w:numId w:val="3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</w:t>
      </w:r>
    </w:p>
    <w:p w:rsidR="00867B2F" w:rsidRDefault="00E87FE8">
      <w:pPr>
        <w:numPr>
          <w:ilvl w:val="0"/>
          <w:numId w:val="3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breast milk or formula or both</w:t>
      </w:r>
    </w:p>
    <w:p w:rsidR="00867B2F" w:rsidRDefault="00E87FE8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Primary and Secondary Outcomes</w:t>
      </w:r>
    </w:p>
    <w:p w:rsidR="00867B2F" w:rsidRDefault="00E87FE8">
      <w:pPr>
        <w:numPr>
          <w:ilvl w:val="0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outcome definition</w:t>
      </w:r>
    </w:p>
    <w:p w:rsidR="00867B2F" w:rsidRDefault="00E87FE8">
      <w:pPr>
        <w:numPr>
          <w:ilvl w:val="0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points outcome was collected</w:t>
      </w:r>
    </w:p>
    <w:p w:rsidR="00867B2F" w:rsidRDefault="00E87FE8">
      <w:pPr>
        <w:numPr>
          <w:ilvl w:val="0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of measurement, measure of error (if continuous)</w:t>
      </w:r>
    </w:p>
    <w:p w:rsidR="00867B2F" w:rsidRDefault="00867B2F"/>
    <w:p w:rsidR="00867B2F" w:rsidRDefault="00E87FE8">
      <w:r>
        <w:br w:type="page"/>
      </w:r>
    </w:p>
    <w:p w:rsidR="00867B2F" w:rsidRPr="002043E5" w:rsidRDefault="007C413A">
      <w:pPr>
        <w:rPr>
          <w:b/>
        </w:rPr>
      </w:pPr>
      <w:r w:rsidRPr="002043E5">
        <w:rPr>
          <w:b/>
        </w:rPr>
        <w:lastRenderedPageBreak/>
        <w:t xml:space="preserve">Appendix C: </w:t>
      </w:r>
      <w:bookmarkStart w:id="1" w:name="_GoBack"/>
      <w:bookmarkEnd w:id="1"/>
      <w:r w:rsidR="00E87FE8" w:rsidRPr="002043E5">
        <w:rPr>
          <w:b/>
        </w:rPr>
        <w:t>Methodological issues in previous reviews</w:t>
      </w:r>
    </w:p>
    <w:p w:rsidR="00E87FE8" w:rsidRDefault="00E87FE8"/>
    <w:p w:rsidR="00E87FE8" w:rsidRPr="002F0727" w:rsidRDefault="00E87FE8" w:rsidP="00E87FE8">
      <w:pPr>
        <w:rPr>
          <w:sz w:val="24"/>
          <w:szCs w:val="24"/>
          <w:vertAlign w:val="superscript"/>
        </w:rPr>
      </w:pPr>
      <w:proofErr w:type="spellStart"/>
      <w:r w:rsidRPr="00E87FE8">
        <w:rPr>
          <w:rFonts w:ascii="Times New Roman" w:eastAsia="Times New Roman" w:hAnsi="Times New Roman" w:cs="Times New Roman"/>
          <w:sz w:val="24"/>
          <w:szCs w:val="24"/>
        </w:rPr>
        <w:t>AlFaleh</w:t>
      </w:r>
      <w:proofErr w:type="spell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2013 Cochrane review</w:t>
      </w:r>
      <w:r w:rsidR="00EE4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</w:p>
    <w:p w:rsidR="00E87FE8" w:rsidRPr="00E87FE8" w:rsidRDefault="00E87FE8" w:rsidP="00E87FE8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Use of fixed effects versus random effects model of data synthesis.</w:t>
      </w:r>
    </w:p>
    <w:p w:rsidR="00E87FE8" w:rsidRPr="00E87FE8" w:rsidRDefault="00E87FE8" w:rsidP="00E87FE8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Did not follow intention to treat - did not count all randomized patients when extracting data.</w:t>
      </w:r>
    </w:p>
    <w:p w:rsidR="00E87FE8" w:rsidRPr="00E87FE8" w:rsidRDefault="00E87FE8" w:rsidP="00E87FE8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Data for outcomes of interest reported in trials as medians were transformed into means.</w:t>
      </w:r>
    </w:p>
    <w:p w:rsidR="00E87FE8" w:rsidRPr="00E87FE8" w:rsidRDefault="00E87FE8" w:rsidP="00E87FE8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Methodological issues found in the reporting of specific trials included in this review are as follows:</w:t>
      </w:r>
    </w:p>
    <w:p w:rsidR="00E87FE8" w:rsidRPr="00E87FE8" w:rsidRDefault="00E87FE8" w:rsidP="00E87FE8">
      <w:pPr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bookmarkStart w:id="2" w:name="h.26in1rg" w:colFirst="0" w:colLast="0"/>
      <w:bookmarkEnd w:id="2"/>
      <w:r w:rsidRPr="00E87FE8">
        <w:rPr>
          <w:rFonts w:ascii="Times New Roman" w:eastAsia="Times New Roman" w:hAnsi="Times New Roman" w:cs="Times New Roman"/>
          <w:sz w:val="24"/>
          <w:szCs w:val="24"/>
        </w:rPr>
        <w:t>Bin-Nun 2005</w:t>
      </w:r>
      <w:r w:rsidR="00EE4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</w:p>
    <w:p w:rsidR="00E87FE8" w:rsidRPr="00E87FE8" w:rsidRDefault="00E87FE8" w:rsidP="00E87FE8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Initiation of enteral feeds / start of probiotics </w:t>
      </w:r>
      <w:proofErr w:type="gramStart"/>
      <w:r w:rsidRPr="00E87FE8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reported in trial, but was not included in the analysis.</w:t>
      </w:r>
    </w:p>
    <w:p w:rsidR="00E87FE8" w:rsidRPr="00E87FE8" w:rsidRDefault="00E87FE8" w:rsidP="00E87FE8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Time to reach full feeds was reported in the trial, but not reported in the analysis.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Braga 2011</w:t>
      </w:r>
      <w:r w:rsidR="00EE4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32</w:t>
      </w:r>
    </w:p>
    <w:p w:rsidR="00E87FE8" w:rsidRPr="00E87FE8" w:rsidRDefault="00E87FE8" w:rsidP="00E87FE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Risk of Bias: low risk of selected reporting, but secondary outcomes listed in trial registration are not reported (e.g. time to full enteral feeds, duration of hospital).</w:t>
      </w:r>
    </w:p>
    <w:p w:rsidR="00E87FE8" w:rsidRPr="00E87FE8" w:rsidRDefault="00E87FE8" w:rsidP="00E87FE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Duration of therapy not clearly defined in study, but was included in the analysis.</w:t>
      </w:r>
    </w:p>
    <w:p w:rsidR="00E87FE8" w:rsidRPr="00E87FE8" w:rsidRDefault="00E87FE8" w:rsidP="00E87FE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It was not clear whether total sepsis or culture-proven sepsis was reported by the study.</w:t>
      </w:r>
    </w:p>
    <w:p w:rsidR="00E87FE8" w:rsidRPr="00E87FE8" w:rsidRDefault="00E87FE8" w:rsidP="00E87FE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ITT results on mortality were not reported.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proofErr w:type="spellStart"/>
      <w:r w:rsidRPr="00E87FE8">
        <w:rPr>
          <w:rFonts w:ascii="Times New Roman" w:eastAsia="Times New Roman" w:hAnsi="Times New Roman" w:cs="Times New Roman"/>
          <w:sz w:val="24"/>
          <w:szCs w:val="24"/>
        </w:rPr>
        <w:t>Costalos</w:t>
      </w:r>
      <w:proofErr w:type="spell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  <w:r w:rsidR="00EE4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</w:t>
      </w:r>
    </w:p>
    <w:p w:rsidR="00E87FE8" w:rsidRPr="00E87FE8" w:rsidRDefault="00E87FE8" w:rsidP="00E87FE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Risk of Bias:</w:t>
      </w:r>
    </w:p>
    <w:p w:rsidR="00E87FE8" w:rsidRPr="00E87FE8" w:rsidRDefault="00E87FE8" w:rsidP="00E87FE8">
      <w:pPr>
        <w:numPr>
          <w:ilvl w:val="1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Did not assess selective reporting</w:t>
      </w:r>
    </w:p>
    <w:p w:rsidR="00E87FE8" w:rsidRPr="00E87FE8" w:rsidRDefault="00E87FE8" w:rsidP="00E87FE8">
      <w:pPr>
        <w:numPr>
          <w:ilvl w:val="1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Study reported allocation was concealed in envelopes.  This was assessed as low risk despite being unclear whether the envelopes were opaque.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proofErr w:type="spellStart"/>
      <w:r w:rsidRPr="00E87FE8">
        <w:rPr>
          <w:rFonts w:ascii="Times New Roman" w:eastAsia="Times New Roman" w:hAnsi="Times New Roman" w:cs="Times New Roman"/>
          <w:sz w:val="24"/>
          <w:szCs w:val="24"/>
        </w:rPr>
        <w:t>Dani</w:t>
      </w:r>
      <w:proofErr w:type="spell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2002</w:t>
      </w:r>
      <w:r w:rsidR="00EE4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34</w:t>
      </w:r>
    </w:p>
    <w:p w:rsidR="00E87FE8" w:rsidRPr="00E87FE8" w:rsidRDefault="00E87FE8" w:rsidP="00E87FE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NEC-related death was analyzed as overall mortality.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proofErr w:type="spellStart"/>
      <w:r w:rsidRPr="00E87FE8">
        <w:rPr>
          <w:rFonts w:ascii="Times New Roman" w:eastAsia="Times New Roman" w:hAnsi="Times New Roman" w:cs="Times New Roman"/>
          <w:sz w:val="24"/>
          <w:szCs w:val="24"/>
        </w:rPr>
        <w:t>Demirel</w:t>
      </w:r>
      <w:proofErr w:type="spell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EE4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35</w:t>
      </w:r>
    </w:p>
    <w:p w:rsidR="00E87FE8" w:rsidRPr="00E87FE8" w:rsidRDefault="00E87FE8" w:rsidP="00E87FE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Time of initiation of therapy was reported in the trial, but was not included in the analysis.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Fernandez-</w:t>
      </w:r>
      <w:proofErr w:type="spellStart"/>
      <w:r w:rsidRPr="00E87FE8">
        <w:rPr>
          <w:rFonts w:ascii="Times New Roman" w:eastAsia="Times New Roman" w:hAnsi="Times New Roman" w:cs="Times New Roman"/>
          <w:sz w:val="24"/>
          <w:szCs w:val="24"/>
        </w:rPr>
        <w:t>Carrocera</w:t>
      </w:r>
      <w:proofErr w:type="spell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EE4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36</w:t>
      </w:r>
    </w:p>
    <w:p w:rsidR="00E87FE8" w:rsidRPr="00E87FE8" w:rsidRDefault="00E87FE8" w:rsidP="002F0727">
      <w:pPr>
        <w:numPr>
          <w:ilvl w:val="0"/>
          <w:numId w:val="11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Categorization of outcomes into subgroups based on duration was not clearly stated in the trial.</w:t>
      </w:r>
    </w:p>
    <w:p w:rsidR="00E87FE8" w:rsidRPr="00E87FE8" w:rsidRDefault="00E87FE8" w:rsidP="00E87FE8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Culture-proven sepsis was reported in trial, but was not included in the analysis.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proofErr w:type="spellStart"/>
      <w:r w:rsidRPr="00E87FE8">
        <w:rPr>
          <w:rFonts w:ascii="Times New Roman" w:eastAsia="Times New Roman" w:hAnsi="Times New Roman" w:cs="Times New Roman"/>
          <w:sz w:val="24"/>
          <w:szCs w:val="24"/>
        </w:rPr>
        <w:t>Kitajima</w:t>
      </w:r>
      <w:proofErr w:type="spell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1997</w:t>
      </w:r>
      <w:r w:rsidR="00EE4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37</w:t>
      </w:r>
    </w:p>
    <w:p w:rsidR="00E87FE8" w:rsidRPr="00E87FE8" w:rsidRDefault="00E87FE8" w:rsidP="00E87FE8">
      <w:pPr>
        <w:numPr>
          <w:ilvl w:val="0"/>
          <w:numId w:val="12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Unclear how mortality and sepsis number counts were obtained (not reported in original publication).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Li 2004</w:t>
      </w:r>
      <w:r w:rsidR="00EE4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</w:t>
      </w:r>
    </w:p>
    <w:p w:rsidR="00E87FE8" w:rsidRPr="00E87FE8" w:rsidRDefault="00E87FE8" w:rsidP="00E87FE8">
      <w:pPr>
        <w:numPr>
          <w:ilvl w:val="0"/>
          <w:numId w:val="10"/>
        </w:numPr>
        <w:contextualSpacing/>
        <w:rPr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Included in review, but does not contribute to any outcomes because of lack of data (e.g. incidence of NEC). Reporting of this decision was not explicit.</w:t>
      </w:r>
    </w:p>
    <w:p w:rsidR="00E87FE8" w:rsidRPr="00E87FE8" w:rsidRDefault="00E87FE8" w:rsidP="00E87FE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Lin 2008</w:t>
      </w:r>
      <w:r w:rsidR="00EE4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40</w:t>
      </w:r>
    </w:p>
    <w:p w:rsidR="00E87FE8" w:rsidRPr="00E87FE8" w:rsidRDefault="00E87FE8" w:rsidP="00E87FE8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Withdrawals after randomization were not included in the final analysis.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Millar 1993</w:t>
      </w:r>
      <w:r w:rsidR="00EE40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44</w:t>
      </w:r>
    </w:p>
    <w:p w:rsidR="00E87FE8" w:rsidRPr="00E87FE8" w:rsidRDefault="00E87FE8" w:rsidP="00E87FE8">
      <w:pPr>
        <w:numPr>
          <w:ilvl w:val="0"/>
          <w:numId w:val="7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Classified under wrong species subgroup (analysis 4.2). Intervention was single species Lactobacillus but was analyzed in multi-species subgroup.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Manzoni 2006</w:t>
      </w:r>
      <w:r w:rsidR="00DD6C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41</w:t>
      </w:r>
    </w:p>
    <w:p w:rsidR="00E87FE8" w:rsidRPr="00E87FE8" w:rsidRDefault="00E87FE8" w:rsidP="00E87FE8">
      <w:pPr>
        <w:numPr>
          <w:ilvl w:val="0"/>
          <w:numId w:val="7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NICU length of stay was reported in the trial, but was not included in the analysis.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proofErr w:type="spellStart"/>
      <w:r w:rsidRPr="00E87FE8">
        <w:rPr>
          <w:rFonts w:ascii="Times New Roman" w:eastAsia="Times New Roman" w:hAnsi="Times New Roman" w:cs="Times New Roman"/>
          <w:sz w:val="24"/>
          <w:szCs w:val="24"/>
        </w:rPr>
        <w:t>Mihatsch</w:t>
      </w:r>
      <w:proofErr w:type="spell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 w:rsidR="00DD6C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43</w:t>
      </w:r>
    </w:p>
    <w:p w:rsidR="00E87FE8" w:rsidRPr="006D295B" w:rsidRDefault="00E87FE8" w:rsidP="00E87FE8">
      <w:pPr>
        <w:numPr>
          <w:ilvl w:val="0"/>
          <w:numId w:val="14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295B">
        <w:rPr>
          <w:rFonts w:ascii="Times New Roman" w:eastAsia="Times New Roman" w:hAnsi="Times New Roman" w:cs="Times New Roman"/>
          <w:sz w:val="24"/>
          <w:szCs w:val="24"/>
        </w:rPr>
        <w:t>Definition of sepsis was not clear</w:t>
      </w:r>
      <w:r w:rsidR="006D295B" w:rsidRPr="006D29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295B">
        <w:rPr>
          <w:rFonts w:ascii="Times New Roman" w:hAnsi="Times New Roman" w:cs="Times New Roman"/>
          <w:sz w:val="24"/>
          <w:szCs w:val="24"/>
        </w:rPr>
        <w:t xml:space="preserve">Paper reports number of positive blood cultures. Unclear whether this was number of cultures or number of patients with positive culture. This was recorded as number of patients in the </w:t>
      </w:r>
      <w:proofErr w:type="spellStart"/>
      <w:r w:rsidRPr="006D295B">
        <w:rPr>
          <w:rFonts w:ascii="Times New Roman" w:hAnsi="Times New Roman" w:cs="Times New Roman"/>
          <w:sz w:val="24"/>
          <w:szCs w:val="24"/>
        </w:rPr>
        <w:t>anlysis</w:t>
      </w:r>
      <w:proofErr w:type="spellEnd"/>
      <w:r w:rsidRPr="006D295B">
        <w:rPr>
          <w:rFonts w:ascii="Times New Roman" w:hAnsi="Times New Roman" w:cs="Times New Roman"/>
          <w:sz w:val="24"/>
          <w:szCs w:val="24"/>
        </w:rPr>
        <w:t>.</w:t>
      </w:r>
    </w:p>
    <w:p w:rsidR="00E87FE8" w:rsidRPr="00E87FE8" w:rsidRDefault="00E87FE8" w:rsidP="00E87FE8">
      <w:pPr>
        <w:numPr>
          <w:ilvl w:val="0"/>
          <w:numId w:val="14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Time to full feeds was reported in the &lt;1500g subgroup, but was not included in the analysis.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proofErr w:type="spellStart"/>
      <w:r w:rsidRPr="00E87FE8">
        <w:rPr>
          <w:rFonts w:ascii="Times New Roman" w:eastAsia="Times New Roman" w:hAnsi="Times New Roman" w:cs="Times New Roman"/>
          <w:sz w:val="24"/>
          <w:szCs w:val="24"/>
        </w:rPr>
        <w:t>ProPrems</w:t>
      </w:r>
      <w:proofErr w:type="spell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DD6C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46</w:t>
      </w:r>
    </w:p>
    <w:p w:rsidR="00E87FE8" w:rsidRPr="00E87FE8" w:rsidRDefault="00E87FE8" w:rsidP="00E87FE8">
      <w:pPr>
        <w:numPr>
          <w:ilvl w:val="0"/>
          <w:numId w:val="14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For the  &lt;1000g subgroup:</w:t>
      </w:r>
    </w:p>
    <w:p w:rsidR="00E87FE8" w:rsidRPr="00E87FE8" w:rsidRDefault="00E87FE8" w:rsidP="00E87FE8">
      <w:pPr>
        <w:numPr>
          <w:ilvl w:val="1"/>
          <w:numId w:val="14"/>
        </w:numPr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Culture-proven sepsis was analyzed using overall study population data.</w:t>
      </w:r>
    </w:p>
    <w:p w:rsidR="00E87FE8" w:rsidRPr="00E87FE8" w:rsidRDefault="00E87FE8" w:rsidP="00E87FE8">
      <w:pPr>
        <w:numPr>
          <w:ilvl w:val="1"/>
          <w:numId w:val="14"/>
        </w:numPr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Mortality was analyzed using overall study population data.</w:t>
      </w:r>
    </w:p>
    <w:p w:rsidR="00E87FE8" w:rsidRPr="00E87FE8" w:rsidRDefault="00E87FE8" w:rsidP="00E87FE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proofErr w:type="spellStart"/>
      <w:r w:rsidRPr="00E87FE8">
        <w:rPr>
          <w:rFonts w:ascii="Times New Roman" w:eastAsia="Times New Roman" w:hAnsi="Times New Roman" w:cs="Times New Roman"/>
          <w:sz w:val="24"/>
          <w:szCs w:val="24"/>
        </w:rPr>
        <w:t>Reumann</w:t>
      </w:r>
      <w:proofErr w:type="spell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1986</w:t>
      </w:r>
      <w:r w:rsidR="00DD6C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47</w:t>
      </w:r>
    </w:p>
    <w:p w:rsidR="00E87FE8" w:rsidRPr="00E87FE8" w:rsidRDefault="00E87FE8" w:rsidP="00E87FE8">
      <w:pPr>
        <w:numPr>
          <w:ilvl w:val="0"/>
          <w:numId w:val="15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Mortality data was available for subgroup by species but was not included in the analysis.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Rojas 2012</w:t>
      </w:r>
      <w:r w:rsidR="00DD6C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48</w:t>
      </w:r>
    </w:p>
    <w:p w:rsidR="00E87FE8" w:rsidRPr="00E87FE8" w:rsidRDefault="00E87FE8" w:rsidP="00E87FE8">
      <w:pPr>
        <w:numPr>
          <w:ilvl w:val="0"/>
          <w:numId w:val="15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Denominators used in the &lt;1500g subgroup were those of the overall study population.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Romeo 2011</w:t>
      </w:r>
      <w:r w:rsidR="00DD6C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</w:p>
    <w:p w:rsidR="00E87FE8" w:rsidRPr="00E87FE8" w:rsidRDefault="00E87FE8" w:rsidP="00E87FE8">
      <w:pPr>
        <w:numPr>
          <w:ilvl w:val="0"/>
          <w:numId w:val="15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lastRenderedPageBreak/>
        <w:t>Sepsis outcomes were reported in the trial, but were not included in the analysis/</w:t>
      </w:r>
    </w:p>
    <w:p w:rsidR="00E87FE8" w:rsidRPr="00E87FE8" w:rsidRDefault="00E87FE8" w:rsidP="00E87FE8">
      <w:pPr>
        <w:numPr>
          <w:ilvl w:val="0"/>
          <w:numId w:val="15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Events in the control group were not divided between the two active treatment arms resulting in double counting.</w:t>
      </w:r>
    </w:p>
    <w:p w:rsidR="00E87FE8" w:rsidRPr="00E87FE8" w:rsidRDefault="00E87FE8" w:rsidP="00E87FE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Sari 2011</w:t>
      </w:r>
      <w:r w:rsidR="00DD6C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51</w:t>
      </w:r>
    </w:p>
    <w:p w:rsidR="00E87FE8" w:rsidRPr="00E87FE8" w:rsidRDefault="00E87FE8" w:rsidP="00E87FE8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All-cause mortality was reported in the trial, but was not included in the analysis.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proofErr w:type="spellStart"/>
      <w:r w:rsidRPr="00E87FE8">
        <w:rPr>
          <w:rFonts w:ascii="Times New Roman" w:eastAsia="Times New Roman" w:hAnsi="Times New Roman" w:cs="Times New Roman"/>
          <w:sz w:val="24"/>
          <w:szCs w:val="24"/>
        </w:rPr>
        <w:t>Stratiki</w:t>
      </w:r>
      <w:proofErr w:type="spell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  <w:r w:rsidR="00DD6C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52</w:t>
      </w:r>
    </w:p>
    <w:p w:rsidR="00E87FE8" w:rsidRDefault="00E87FE8" w:rsidP="00E87FE8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Incorrect denominators used for analysis.</w:t>
      </w:r>
    </w:p>
    <w:p w:rsidR="006D295B" w:rsidRDefault="006D295B" w:rsidP="00E87FE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87FE8" w:rsidRPr="00E87FE8" w:rsidRDefault="00CE1BEC" w:rsidP="00E87FE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2014</w:t>
      </w:r>
      <w:r w:rsidR="00E87FE8" w:rsidRPr="00E87FE8">
        <w:rPr>
          <w:rFonts w:ascii="Times New Roman" w:eastAsia="Times New Roman" w:hAnsi="Times New Roman" w:cs="Times New Roman"/>
          <w:sz w:val="24"/>
          <w:szCs w:val="24"/>
        </w:rPr>
        <w:t xml:space="preserve"> systematic review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="00E87FE8" w:rsidRPr="00E87F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7FE8" w:rsidRPr="00E87FE8" w:rsidRDefault="00E87FE8" w:rsidP="00E87FE8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Included trials of stage 1 NEC or above - unusual inclusion for this type of review. Use of random effects to synthesize data only after statistical testing for heterogeneity, rather than deciding a priori based on trial characteristics </w:t>
      </w:r>
    </w:p>
    <w:p w:rsidR="00E87FE8" w:rsidRPr="00E87FE8" w:rsidRDefault="00E87FE8" w:rsidP="00E87FE8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Methodological issues found in the reporting of specific trials included in this review are as follows:</w:t>
      </w:r>
    </w:p>
    <w:p w:rsidR="00E87FE8" w:rsidRPr="00E87FE8" w:rsidRDefault="00E87FE8" w:rsidP="00E87FE8">
      <w:pPr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Fu 2012</w:t>
      </w:r>
      <w:r w:rsidR="00284D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2F07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E87FE8" w:rsidRPr="00E87FE8" w:rsidRDefault="00E87FE8" w:rsidP="00E87FE8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Was not a randomized trial.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Huang 2009</w:t>
      </w:r>
      <w:r w:rsidR="00284D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</w:p>
    <w:p w:rsidR="00E87FE8" w:rsidRPr="00E87FE8" w:rsidRDefault="00E87FE8" w:rsidP="00E87FE8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Was not a randomized trial.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proofErr w:type="spellStart"/>
      <w:r w:rsidRPr="00E87FE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87FE8"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  <w:r w:rsidR="00284D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</w:p>
    <w:p w:rsidR="00E87FE8" w:rsidRPr="00E87FE8" w:rsidRDefault="00E87FE8" w:rsidP="00E87FE8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Did not use Bell’s for criteria for diagnosis of NEC.</w:t>
      </w:r>
    </w:p>
    <w:p w:rsidR="00E87FE8" w:rsidRPr="00E87FE8" w:rsidRDefault="00E87FE8" w:rsidP="00E87FE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Li 2011</w:t>
      </w:r>
      <w:r w:rsidR="00284D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2F07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E87FE8" w:rsidRPr="00E87FE8" w:rsidRDefault="00E87FE8" w:rsidP="00E87FE8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Was not a randomized trial.</w:t>
      </w:r>
    </w:p>
    <w:p w:rsidR="00E87FE8" w:rsidRPr="00E87FE8" w:rsidRDefault="00E87FE8" w:rsidP="00E87FE8">
      <w:pPr>
        <w:ind w:left="720"/>
        <w:rPr>
          <w:sz w:val="24"/>
          <w:szCs w:val="24"/>
        </w:rPr>
      </w:pPr>
    </w:p>
    <w:p w:rsidR="00E87FE8" w:rsidRPr="002F0727" w:rsidRDefault="00E87FE8" w:rsidP="00E87FE8">
      <w:pPr>
        <w:ind w:left="720"/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Yang 2011</w:t>
      </w:r>
      <w:r w:rsidR="00284D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</w:p>
    <w:p w:rsidR="00E87FE8" w:rsidRPr="00E87FE8" w:rsidRDefault="00E87FE8" w:rsidP="00E87FE8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Definition of NEC was unclear (Stage 1 included?).</w:t>
      </w:r>
    </w:p>
    <w:p w:rsidR="00E87FE8" w:rsidRPr="00E87FE8" w:rsidRDefault="00E87FE8" w:rsidP="00E87FE8">
      <w:pPr>
        <w:rPr>
          <w:sz w:val="24"/>
          <w:szCs w:val="24"/>
        </w:rPr>
      </w:pPr>
    </w:p>
    <w:p w:rsidR="00E87FE8" w:rsidRPr="002F0727" w:rsidRDefault="00E87FE8" w:rsidP="00E87FE8">
      <w:pPr>
        <w:rPr>
          <w:sz w:val="24"/>
          <w:szCs w:val="24"/>
          <w:vertAlign w:val="superscript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ab/>
        <w:t>Hunter 2012</w:t>
      </w:r>
      <w:r w:rsidR="00284D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2F07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E87FE8" w:rsidRPr="00E87FE8" w:rsidRDefault="00E87FE8" w:rsidP="00E87FE8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E87FE8">
        <w:rPr>
          <w:rFonts w:ascii="Times New Roman" w:eastAsia="Times New Roman" w:hAnsi="Times New Roman" w:cs="Times New Roman"/>
          <w:sz w:val="24"/>
          <w:szCs w:val="24"/>
        </w:rPr>
        <w:t>Not a randomized trial (although it did not contribute to any of the outcomes in the graphs).</w:t>
      </w:r>
    </w:p>
    <w:p w:rsidR="007C413A" w:rsidRDefault="007C41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7B2F" w:rsidRDefault="00E87FE8">
      <w:r>
        <w:rPr>
          <w:sz w:val="24"/>
          <w:szCs w:val="24"/>
        </w:rPr>
        <w:lastRenderedPageBreak/>
        <w:t>Supplemental Figure 1: Study quality and risk for bias assessment for included studies</w:t>
      </w:r>
    </w:p>
    <w:p w:rsidR="00867B2F" w:rsidRDefault="004D280D">
      <w:r>
        <w:rPr>
          <w:noProof/>
        </w:rPr>
        <w:drawing>
          <wp:inline distT="0" distB="0" distL="0" distR="0">
            <wp:extent cx="2050899" cy="7991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of bi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992" cy="799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2F" w:rsidRDefault="00E87FE8">
      <w:pPr>
        <w:spacing w:line="240" w:lineRule="auto"/>
      </w:pPr>
      <w:r>
        <w:lastRenderedPageBreak/>
        <w:t>Supplemental Figure 2:</w:t>
      </w:r>
      <w:r w:rsidR="008D4615">
        <w:t xml:space="preserve"> </w:t>
      </w:r>
      <w:r>
        <w:t xml:space="preserve">Forest plot showing the effect of probiotics on severe NEC </w:t>
      </w:r>
      <w:proofErr w:type="spellStart"/>
      <w:r>
        <w:t>subgrouped</w:t>
      </w:r>
      <w:proofErr w:type="spellEnd"/>
      <w:r>
        <w:t xml:space="preserve"> by timing of initiation of therapy</w:t>
      </w:r>
    </w:p>
    <w:p w:rsidR="00867B2F" w:rsidRDefault="00867B2F">
      <w:pPr>
        <w:spacing w:line="240" w:lineRule="auto"/>
      </w:pPr>
    </w:p>
    <w:p w:rsidR="00867B2F" w:rsidRDefault="00F63D52">
      <w:pPr>
        <w:spacing w:line="240" w:lineRule="auto"/>
      </w:pPr>
      <w:r>
        <w:rPr>
          <w:noProof/>
        </w:rPr>
        <w:drawing>
          <wp:inline distT="0" distB="0" distL="0" distR="0">
            <wp:extent cx="5943600" cy="636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 All infants severe NEC initiation subgrou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2F" w:rsidRDefault="00867B2F">
      <w:pPr>
        <w:spacing w:line="240" w:lineRule="auto"/>
      </w:pPr>
    </w:p>
    <w:p w:rsidR="00867B2F" w:rsidRDefault="00E87FE8">
      <w:r>
        <w:br w:type="page"/>
      </w:r>
    </w:p>
    <w:p w:rsidR="00867B2F" w:rsidRDefault="00867B2F">
      <w:pPr>
        <w:spacing w:line="240" w:lineRule="auto"/>
      </w:pPr>
    </w:p>
    <w:p w:rsidR="00867B2F" w:rsidRDefault="00E87FE8">
      <w:pPr>
        <w:spacing w:line="240" w:lineRule="auto"/>
      </w:pPr>
      <w:r>
        <w:t xml:space="preserve">Supplemental Figure 3 - Forest plot showing the effect of probiotics on severe NEC </w:t>
      </w:r>
      <w:proofErr w:type="spellStart"/>
      <w:r>
        <w:t>subgrouped</w:t>
      </w:r>
      <w:proofErr w:type="spellEnd"/>
      <w:r>
        <w:t xml:space="preserve"> by duration of therapy</w:t>
      </w:r>
    </w:p>
    <w:p w:rsidR="00867B2F" w:rsidRDefault="00867B2F">
      <w:pPr>
        <w:spacing w:line="240" w:lineRule="auto"/>
      </w:pPr>
    </w:p>
    <w:p w:rsidR="00867B2F" w:rsidRDefault="00F63D52">
      <w:pPr>
        <w:spacing w:line="240" w:lineRule="auto"/>
      </w:pPr>
      <w:r>
        <w:rPr>
          <w:noProof/>
        </w:rPr>
        <w:drawing>
          <wp:inline distT="0" distB="0" distL="0" distR="0">
            <wp:extent cx="5943600" cy="7247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 All infants - severe NEC by duration of thera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2F" w:rsidRDefault="00867B2F">
      <w:pPr>
        <w:spacing w:line="240" w:lineRule="auto"/>
      </w:pPr>
    </w:p>
    <w:p w:rsidR="00867B2F" w:rsidRDefault="00E87FE8">
      <w:r>
        <w:br w:type="page"/>
      </w:r>
    </w:p>
    <w:p w:rsidR="00867B2F" w:rsidRDefault="00867B2F">
      <w:pPr>
        <w:spacing w:line="240" w:lineRule="auto"/>
      </w:pPr>
    </w:p>
    <w:p w:rsidR="00867B2F" w:rsidRDefault="00E87FE8">
      <w:pPr>
        <w:spacing w:line="240" w:lineRule="auto"/>
      </w:pPr>
      <w:r>
        <w:t xml:space="preserve">Supplemental Figure 4: Forest plot showing the effect of probiotics on NEC </w:t>
      </w:r>
      <w:proofErr w:type="spellStart"/>
      <w:r>
        <w:t>subgrouped</w:t>
      </w:r>
      <w:proofErr w:type="spellEnd"/>
      <w:r>
        <w:t xml:space="preserve"> by species</w:t>
      </w:r>
    </w:p>
    <w:p w:rsidR="00867B2F" w:rsidRDefault="00867B2F">
      <w:pPr>
        <w:spacing w:line="240" w:lineRule="auto"/>
      </w:pPr>
    </w:p>
    <w:p w:rsidR="00867B2F" w:rsidRDefault="00F63D52">
      <w:pPr>
        <w:spacing w:line="240" w:lineRule="auto"/>
      </w:pPr>
      <w:r>
        <w:rPr>
          <w:noProof/>
        </w:rPr>
        <w:drawing>
          <wp:inline distT="0" distB="0" distL="0" distR="0">
            <wp:extent cx="5943600" cy="6918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 All infants NEC subgroup by speci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2F" w:rsidRDefault="00867B2F">
      <w:pPr>
        <w:spacing w:line="240" w:lineRule="auto"/>
      </w:pPr>
    </w:p>
    <w:p w:rsidR="00867B2F" w:rsidRDefault="00867B2F" w:rsidP="0091679B"/>
    <w:sectPr w:rsidR="00867B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D1"/>
    <w:multiLevelType w:val="multilevel"/>
    <w:tmpl w:val="06ECF87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09FE0DED"/>
    <w:multiLevelType w:val="multilevel"/>
    <w:tmpl w:val="EB32822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1931225B"/>
    <w:multiLevelType w:val="multilevel"/>
    <w:tmpl w:val="46F229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2B953BDE"/>
    <w:multiLevelType w:val="multilevel"/>
    <w:tmpl w:val="065C4B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3E5077C"/>
    <w:multiLevelType w:val="multilevel"/>
    <w:tmpl w:val="3ACAEA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9407BCA"/>
    <w:multiLevelType w:val="hybridMultilevel"/>
    <w:tmpl w:val="AB4C3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E6F95"/>
    <w:multiLevelType w:val="multilevel"/>
    <w:tmpl w:val="C56C3E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9F87089"/>
    <w:multiLevelType w:val="hybridMultilevel"/>
    <w:tmpl w:val="094C2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5120B9"/>
    <w:multiLevelType w:val="multilevel"/>
    <w:tmpl w:val="C56C3E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94867E8"/>
    <w:multiLevelType w:val="multilevel"/>
    <w:tmpl w:val="111477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BA10C0A"/>
    <w:multiLevelType w:val="multilevel"/>
    <w:tmpl w:val="C56C3E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0F60F58"/>
    <w:multiLevelType w:val="multilevel"/>
    <w:tmpl w:val="3ACAEA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3BF5F7E"/>
    <w:multiLevelType w:val="multilevel"/>
    <w:tmpl w:val="3ACAEA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F647CBB"/>
    <w:multiLevelType w:val="multilevel"/>
    <w:tmpl w:val="C56C3E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F704A2F"/>
    <w:multiLevelType w:val="multilevel"/>
    <w:tmpl w:val="7ED2D1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>
    <w:nsid w:val="7FEA0A23"/>
    <w:multiLevelType w:val="hybridMultilevel"/>
    <w:tmpl w:val="95D0B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5"/>
  </w:num>
  <w:num w:numId="10">
    <w:abstractNumId w:val="15"/>
  </w:num>
  <w:num w:numId="11">
    <w:abstractNumId w:val="11"/>
  </w:num>
  <w:num w:numId="12">
    <w:abstractNumId w:val="4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7B2F"/>
    <w:rsid w:val="000A110F"/>
    <w:rsid w:val="00156713"/>
    <w:rsid w:val="001B1ED0"/>
    <w:rsid w:val="002043E5"/>
    <w:rsid w:val="00284D6E"/>
    <w:rsid w:val="002F0727"/>
    <w:rsid w:val="00335A71"/>
    <w:rsid w:val="00341632"/>
    <w:rsid w:val="0046445D"/>
    <w:rsid w:val="00484031"/>
    <w:rsid w:val="004906F8"/>
    <w:rsid w:val="004B03F0"/>
    <w:rsid w:val="004D280D"/>
    <w:rsid w:val="005654EB"/>
    <w:rsid w:val="006D295B"/>
    <w:rsid w:val="007406A3"/>
    <w:rsid w:val="007C413A"/>
    <w:rsid w:val="00867B2F"/>
    <w:rsid w:val="008D4615"/>
    <w:rsid w:val="00911E0F"/>
    <w:rsid w:val="0091679B"/>
    <w:rsid w:val="00982A4A"/>
    <w:rsid w:val="009914FC"/>
    <w:rsid w:val="00AC70BD"/>
    <w:rsid w:val="00BB57EB"/>
    <w:rsid w:val="00C329C5"/>
    <w:rsid w:val="00CE1BEC"/>
    <w:rsid w:val="00DD6C6D"/>
    <w:rsid w:val="00E87FE8"/>
    <w:rsid w:val="00EC48D4"/>
    <w:rsid w:val="00EE4010"/>
    <w:rsid w:val="00F63D52"/>
    <w:rsid w:val="00F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0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0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940DE6-8E15-4510-BFD2-A9C2D97F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FAE7D28D</Template>
  <TotalTime>85</TotalTime>
  <Pages>11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Sawh</dc:creator>
  <cp:lastModifiedBy>Sonja Sawh</cp:lastModifiedBy>
  <cp:revision>12</cp:revision>
  <dcterms:created xsi:type="dcterms:W3CDTF">2016-07-21T16:18:00Z</dcterms:created>
  <dcterms:modified xsi:type="dcterms:W3CDTF">2016-08-08T17:52:00Z</dcterms:modified>
</cp:coreProperties>
</file>