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1735" w14:textId="77777777" w:rsidR="00F046B2" w:rsidRDefault="00F046B2" w:rsidP="00F046B2">
      <w:pPr>
        <w:spacing w:line="360" w:lineRule="auto"/>
        <w:rPr>
          <w:rFonts w:ascii="Times New Roman" w:hAnsi="Times New Roman"/>
        </w:rPr>
      </w:pPr>
      <w:r w:rsidRPr="00CB1234">
        <w:rPr>
          <w:rFonts w:ascii="Times New Roman" w:hAnsi="Times New Roman"/>
          <w:b/>
        </w:rPr>
        <w:t>Table S1</w:t>
      </w:r>
      <w:r w:rsidRPr="00E001BC">
        <w:rPr>
          <w:rFonts w:ascii="Times New Roman" w:hAnsi="Times New Roman"/>
        </w:rPr>
        <w:t xml:space="preserve"> Data </w:t>
      </w:r>
      <w:r>
        <w:rPr>
          <w:rFonts w:ascii="Times New Roman" w:hAnsi="Times New Roman"/>
        </w:rPr>
        <w:t xml:space="preserve">sources </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2"/>
        <w:gridCol w:w="2363"/>
        <w:gridCol w:w="2363"/>
        <w:gridCol w:w="2363"/>
        <w:gridCol w:w="2363"/>
      </w:tblGrid>
      <w:tr w:rsidR="00F046B2" w:rsidRPr="00BE42F2" w14:paraId="5723CD41" w14:textId="77777777" w:rsidTr="00D953B3">
        <w:tc>
          <w:tcPr>
            <w:tcW w:w="2362" w:type="dxa"/>
            <w:shd w:val="clear" w:color="auto" w:fill="auto"/>
          </w:tcPr>
          <w:p w14:paraId="569C2C3C"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4059EDC9" w14:textId="77777777" w:rsidR="00F046B2" w:rsidRPr="00BE42F2" w:rsidRDefault="00F046B2" w:rsidP="00D953B3">
            <w:pPr>
              <w:spacing w:line="360" w:lineRule="auto"/>
              <w:rPr>
                <w:rFonts w:ascii="Times New Roman" w:hAnsi="Times New Roman"/>
              </w:rPr>
            </w:pPr>
            <w:r w:rsidRPr="00BE42F2">
              <w:rPr>
                <w:rFonts w:ascii="Times New Roman" w:hAnsi="Times New Roman"/>
                <w:b/>
                <w:bCs/>
                <w:color w:val="000000"/>
              </w:rPr>
              <w:t>Family</w:t>
            </w:r>
          </w:p>
        </w:tc>
        <w:tc>
          <w:tcPr>
            <w:tcW w:w="2363" w:type="dxa"/>
            <w:shd w:val="clear" w:color="auto" w:fill="auto"/>
          </w:tcPr>
          <w:p w14:paraId="550418C0" w14:textId="77777777" w:rsidR="00F046B2" w:rsidRPr="00BE42F2" w:rsidRDefault="00F046B2" w:rsidP="00D953B3">
            <w:pPr>
              <w:spacing w:line="360" w:lineRule="auto"/>
              <w:rPr>
                <w:rFonts w:ascii="Times New Roman" w:hAnsi="Times New Roman"/>
              </w:rPr>
            </w:pPr>
            <w:r w:rsidRPr="00BE42F2">
              <w:rPr>
                <w:rFonts w:ascii="Times New Roman" w:hAnsi="Times New Roman"/>
                <w:b/>
                <w:bCs/>
                <w:color w:val="000000"/>
              </w:rPr>
              <w:t>Species</w:t>
            </w:r>
          </w:p>
        </w:tc>
        <w:tc>
          <w:tcPr>
            <w:tcW w:w="2363" w:type="dxa"/>
            <w:shd w:val="clear" w:color="auto" w:fill="auto"/>
          </w:tcPr>
          <w:p w14:paraId="19366AB3" w14:textId="77777777" w:rsidR="00F046B2" w:rsidRPr="00BE42F2" w:rsidRDefault="00F046B2" w:rsidP="00D953B3">
            <w:pPr>
              <w:spacing w:line="360" w:lineRule="auto"/>
              <w:rPr>
                <w:rFonts w:ascii="Times New Roman" w:hAnsi="Times New Roman"/>
              </w:rPr>
            </w:pPr>
            <w:r w:rsidRPr="00BE42F2">
              <w:rPr>
                <w:rFonts w:ascii="Times New Roman" w:hAnsi="Times New Roman"/>
                <w:b/>
                <w:bCs/>
                <w:color w:val="000000"/>
              </w:rPr>
              <w:t>Source</w:t>
            </w:r>
          </w:p>
        </w:tc>
        <w:tc>
          <w:tcPr>
            <w:tcW w:w="2363" w:type="dxa"/>
            <w:shd w:val="clear" w:color="auto" w:fill="auto"/>
          </w:tcPr>
          <w:p w14:paraId="57A80C8C" w14:textId="77777777" w:rsidR="00F046B2" w:rsidRPr="00BE42F2" w:rsidRDefault="00F046B2" w:rsidP="00D953B3">
            <w:pPr>
              <w:spacing w:line="360" w:lineRule="auto"/>
              <w:rPr>
                <w:rFonts w:ascii="Times New Roman" w:hAnsi="Times New Roman"/>
              </w:rPr>
            </w:pPr>
            <w:r w:rsidRPr="00BE42F2">
              <w:rPr>
                <w:b/>
                <w:bCs/>
                <w:color w:val="000000"/>
              </w:rPr>
              <w:t>Data type</w:t>
            </w:r>
          </w:p>
        </w:tc>
        <w:tc>
          <w:tcPr>
            <w:tcW w:w="2363" w:type="dxa"/>
            <w:shd w:val="clear" w:color="auto" w:fill="auto"/>
          </w:tcPr>
          <w:p w14:paraId="64F6478D" w14:textId="77777777" w:rsidR="00F046B2" w:rsidRPr="00BE42F2" w:rsidRDefault="00F046B2" w:rsidP="00D953B3">
            <w:pPr>
              <w:spacing w:line="360" w:lineRule="auto"/>
              <w:rPr>
                <w:rFonts w:ascii="Times New Roman" w:hAnsi="Times New Roman"/>
              </w:rPr>
            </w:pPr>
            <w:r w:rsidRPr="00BE42F2">
              <w:rPr>
                <w:b/>
                <w:bCs/>
                <w:color w:val="000000"/>
              </w:rPr>
              <w:t># ortholog</w:t>
            </w:r>
          </w:p>
        </w:tc>
      </w:tr>
      <w:tr w:rsidR="00F046B2" w:rsidRPr="00BE42F2" w14:paraId="47E4F514" w14:textId="77777777" w:rsidTr="00D953B3">
        <w:tc>
          <w:tcPr>
            <w:tcW w:w="2362" w:type="dxa"/>
            <w:shd w:val="clear" w:color="auto" w:fill="auto"/>
          </w:tcPr>
          <w:p w14:paraId="13861912" w14:textId="77777777" w:rsidR="00F046B2" w:rsidRPr="00BE42F2" w:rsidRDefault="00F046B2" w:rsidP="00D953B3">
            <w:pPr>
              <w:spacing w:line="360" w:lineRule="auto"/>
              <w:rPr>
                <w:rFonts w:ascii="Times New Roman" w:hAnsi="Times New Roman"/>
              </w:rPr>
            </w:pPr>
            <w:r w:rsidRPr="00BE42F2">
              <w:rPr>
                <w:rFonts w:ascii="Times New Roman" w:hAnsi="Times New Roman"/>
                <w:b/>
                <w:bCs/>
                <w:color w:val="000000"/>
              </w:rPr>
              <w:t>Complex</w:t>
            </w:r>
          </w:p>
        </w:tc>
        <w:tc>
          <w:tcPr>
            <w:tcW w:w="2362" w:type="dxa"/>
            <w:shd w:val="clear" w:color="auto" w:fill="auto"/>
          </w:tcPr>
          <w:p w14:paraId="1A7C94F1"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Acroporidea</w:t>
            </w:r>
          </w:p>
        </w:tc>
        <w:tc>
          <w:tcPr>
            <w:tcW w:w="2363" w:type="dxa"/>
            <w:shd w:val="clear" w:color="auto" w:fill="auto"/>
          </w:tcPr>
          <w:p w14:paraId="386AAD61"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Acropora millepora</w:t>
            </w:r>
          </w:p>
        </w:tc>
        <w:tc>
          <w:tcPr>
            <w:tcW w:w="2363" w:type="dxa"/>
            <w:shd w:val="clear" w:color="auto" w:fill="auto"/>
          </w:tcPr>
          <w:p w14:paraId="6F8A352E"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Moya et al, 2012</w:t>
            </w:r>
            <w:r w:rsidRPr="00BE42F2">
              <w:rPr>
                <w:rFonts w:ascii="Times New Roman" w:hAnsi="Times New Roman"/>
                <w:color w:val="000000"/>
                <w:vertAlign w:val="superscript"/>
              </w:rPr>
              <w:t>1</w:t>
            </w:r>
          </w:p>
        </w:tc>
        <w:tc>
          <w:tcPr>
            <w:tcW w:w="2363" w:type="dxa"/>
            <w:shd w:val="clear" w:color="auto" w:fill="auto"/>
          </w:tcPr>
          <w:p w14:paraId="242728D6"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0D566ECA" w14:textId="77777777" w:rsidR="00F046B2" w:rsidRPr="00BE42F2" w:rsidRDefault="00F046B2" w:rsidP="00D953B3">
            <w:pPr>
              <w:spacing w:line="360" w:lineRule="auto"/>
              <w:rPr>
                <w:b/>
                <w:bCs/>
                <w:color w:val="000000"/>
              </w:rPr>
            </w:pPr>
            <w:r w:rsidRPr="00BE42F2">
              <w:rPr>
                <w:color w:val="000000"/>
              </w:rPr>
              <w:t>1609</w:t>
            </w:r>
          </w:p>
        </w:tc>
      </w:tr>
      <w:tr w:rsidR="00F046B2" w:rsidRPr="00BE42F2" w14:paraId="658599F0" w14:textId="77777777" w:rsidTr="00D953B3">
        <w:tc>
          <w:tcPr>
            <w:tcW w:w="2362" w:type="dxa"/>
            <w:shd w:val="clear" w:color="auto" w:fill="auto"/>
          </w:tcPr>
          <w:p w14:paraId="359AD4DC"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0FE4D889"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Acroporidea</w:t>
            </w:r>
          </w:p>
        </w:tc>
        <w:tc>
          <w:tcPr>
            <w:tcW w:w="2363" w:type="dxa"/>
            <w:shd w:val="clear" w:color="auto" w:fill="auto"/>
          </w:tcPr>
          <w:p w14:paraId="5953C6BA"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Acropora digitifera</w:t>
            </w:r>
          </w:p>
        </w:tc>
        <w:tc>
          <w:tcPr>
            <w:tcW w:w="2363" w:type="dxa"/>
            <w:shd w:val="clear" w:color="auto" w:fill="auto"/>
          </w:tcPr>
          <w:p w14:paraId="7DFBA7EE"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Shinzato et al. 2011</w:t>
            </w:r>
            <w:r w:rsidRPr="00BE42F2">
              <w:rPr>
                <w:rFonts w:ascii="Times New Roman" w:hAnsi="Times New Roman"/>
                <w:color w:val="000000"/>
                <w:vertAlign w:val="superscript"/>
              </w:rPr>
              <w:t>2</w:t>
            </w:r>
          </w:p>
        </w:tc>
        <w:tc>
          <w:tcPr>
            <w:tcW w:w="2363" w:type="dxa"/>
            <w:shd w:val="clear" w:color="auto" w:fill="auto"/>
          </w:tcPr>
          <w:p w14:paraId="3A6657E9" w14:textId="77777777" w:rsidR="00F046B2" w:rsidRPr="00BE42F2" w:rsidRDefault="00F046B2" w:rsidP="00D953B3">
            <w:pPr>
              <w:spacing w:line="360" w:lineRule="auto"/>
              <w:rPr>
                <w:rFonts w:ascii="Times New Roman" w:hAnsi="Times New Roman"/>
              </w:rPr>
            </w:pPr>
            <w:r w:rsidRPr="00BE42F2">
              <w:rPr>
                <w:color w:val="000000"/>
              </w:rPr>
              <w:t>Genome</w:t>
            </w:r>
          </w:p>
        </w:tc>
        <w:tc>
          <w:tcPr>
            <w:tcW w:w="2363" w:type="dxa"/>
            <w:shd w:val="clear" w:color="auto" w:fill="auto"/>
          </w:tcPr>
          <w:p w14:paraId="034768A1" w14:textId="77777777" w:rsidR="00F046B2" w:rsidRPr="00BE42F2" w:rsidRDefault="00F046B2" w:rsidP="00D953B3">
            <w:pPr>
              <w:spacing w:line="360" w:lineRule="auto"/>
              <w:rPr>
                <w:color w:val="000000"/>
              </w:rPr>
            </w:pPr>
            <w:r w:rsidRPr="00BE42F2">
              <w:rPr>
                <w:color w:val="000000"/>
              </w:rPr>
              <w:t>Primer/Reference</w:t>
            </w:r>
          </w:p>
        </w:tc>
      </w:tr>
      <w:tr w:rsidR="00F046B2" w:rsidRPr="00BE42F2" w14:paraId="49CB7AC9" w14:textId="77777777" w:rsidTr="00D953B3">
        <w:tc>
          <w:tcPr>
            <w:tcW w:w="2362" w:type="dxa"/>
            <w:shd w:val="clear" w:color="auto" w:fill="auto"/>
          </w:tcPr>
          <w:p w14:paraId="516F87E5"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3EBD48C3"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Poritidea</w:t>
            </w:r>
          </w:p>
        </w:tc>
        <w:tc>
          <w:tcPr>
            <w:tcW w:w="2363" w:type="dxa"/>
            <w:shd w:val="clear" w:color="auto" w:fill="auto"/>
          </w:tcPr>
          <w:p w14:paraId="7E9D423E"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Porites australiensis</w:t>
            </w:r>
          </w:p>
        </w:tc>
        <w:tc>
          <w:tcPr>
            <w:tcW w:w="2363" w:type="dxa"/>
            <w:shd w:val="clear" w:color="auto" w:fill="auto"/>
          </w:tcPr>
          <w:p w14:paraId="720349D1"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Shinzato et al. 2014</w:t>
            </w:r>
            <w:r w:rsidRPr="00BE42F2">
              <w:rPr>
                <w:rFonts w:ascii="Times New Roman" w:hAnsi="Times New Roman"/>
                <w:color w:val="000000"/>
                <w:vertAlign w:val="superscript"/>
              </w:rPr>
              <w:t>3</w:t>
            </w:r>
          </w:p>
        </w:tc>
        <w:tc>
          <w:tcPr>
            <w:tcW w:w="2363" w:type="dxa"/>
            <w:shd w:val="clear" w:color="auto" w:fill="auto"/>
          </w:tcPr>
          <w:p w14:paraId="0333DC87"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779FD56C" w14:textId="77777777" w:rsidR="00F046B2" w:rsidRPr="00BE42F2" w:rsidRDefault="00F046B2" w:rsidP="00D953B3">
            <w:pPr>
              <w:spacing w:line="360" w:lineRule="auto"/>
              <w:rPr>
                <w:color w:val="000000"/>
              </w:rPr>
            </w:pPr>
            <w:r w:rsidRPr="00BE42F2">
              <w:rPr>
                <w:color w:val="000000"/>
              </w:rPr>
              <w:t>1296</w:t>
            </w:r>
          </w:p>
        </w:tc>
      </w:tr>
      <w:tr w:rsidR="00F046B2" w:rsidRPr="00BE42F2" w14:paraId="397A8F64" w14:textId="77777777" w:rsidTr="00D953B3">
        <w:tc>
          <w:tcPr>
            <w:tcW w:w="2362" w:type="dxa"/>
            <w:shd w:val="clear" w:color="auto" w:fill="auto"/>
          </w:tcPr>
          <w:p w14:paraId="1E3246D1" w14:textId="77777777" w:rsidR="00F046B2" w:rsidRPr="00BE42F2" w:rsidRDefault="00F046B2" w:rsidP="00D953B3">
            <w:pPr>
              <w:spacing w:line="360" w:lineRule="auto"/>
              <w:rPr>
                <w:rFonts w:ascii="Times New Roman" w:hAnsi="Times New Roman"/>
              </w:rPr>
            </w:pPr>
            <w:r w:rsidRPr="00BE42F2">
              <w:rPr>
                <w:rFonts w:ascii="Times New Roman" w:hAnsi="Times New Roman"/>
                <w:b/>
                <w:bCs/>
                <w:color w:val="000000"/>
              </w:rPr>
              <w:t>Robust</w:t>
            </w:r>
          </w:p>
        </w:tc>
        <w:tc>
          <w:tcPr>
            <w:tcW w:w="2362" w:type="dxa"/>
            <w:shd w:val="clear" w:color="auto" w:fill="auto"/>
          </w:tcPr>
          <w:p w14:paraId="09D37295"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Fungiidae</w:t>
            </w:r>
          </w:p>
        </w:tc>
        <w:tc>
          <w:tcPr>
            <w:tcW w:w="2363" w:type="dxa"/>
            <w:shd w:val="clear" w:color="auto" w:fill="auto"/>
          </w:tcPr>
          <w:p w14:paraId="0FDF6984"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Fungia scutaria</w:t>
            </w:r>
          </w:p>
        </w:tc>
        <w:tc>
          <w:tcPr>
            <w:tcW w:w="2363" w:type="dxa"/>
            <w:shd w:val="clear" w:color="auto" w:fill="auto"/>
          </w:tcPr>
          <w:p w14:paraId="08DFA6F4" w14:textId="77777777" w:rsidR="00F046B2" w:rsidRPr="00BE42F2" w:rsidRDefault="00F046B2" w:rsidP="00D953B3">
            <w:pPr>
              <w:spacing w:line="360" w:lineRule="auto"/>
              <w:rPr>
                <w:rFonts w:ascii="Times New Roman" w:hAnsi="Times New Roman"/>
              </w:rPr>
            </w:pPr>
            <w:r w:rsidRPr="00BE42F2">
              <w:rPr>
                <w:rFonts w:ascii="Times New Roman" w:hAnsi="Times New Roman"/>
              </w:rPr>
              <w:t>Meyer and Weis lab</w:t>
            </w:r>
            <w:r w:rsidRPr="00BE42F2">
              <w:rPr>
                <w:rFonts w:ascii="Times New Roman" w:hAnsi="Times New Roman"/>
                <w:vertAlign w:val="superscript"/>
              </w:rPr>
              <w:t>4</w:t>
            </w:r>
          </w:p>
        </w:tc>
        <w:tc>
          <w:tcPr>
            <w:tcW w:w="2363" w:type="dxa"/>
            <w:shd w:val="clear" w:color="auto" w:fill="auto"/>
          </w:tcPr>
          <w:p w14:paraId="07148263"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38DAB5BB" w14:textId="77777777" w:rsidR="00F046B2" w:rsidRPr="00BE42F2" w:rsidRDefault="00F046B2" w:rsidP="00D953B3">
            <w:pPr>
              <w:spacing w:line="360" w:lineRule="auto"/>
              <w:rPr>
                <w:color w:val="000000"/>
              </w:rPr>
            </w:pPr>
            <w:r w:rsidRPr="00BE42F2">
              <w:rPr>
                <w:color w:val="000000"/>
              </w:rPr>
              <w:t>1511</w:t>
            </w:r>
          </w:p>
        </w:tc>
      </w:tr>
      <w:tr w:rsidR="00F046B2" w:rsidRPr="00BE42F2" w14:paraId="7B6D813A" w14:textId="77777777" w:rsidTr="00D953B3">
        <w:tc>
          <w:tcPr>
            <w:tcW w:w="2362" w:type="dxa"/>
            <w:shd w:val="clear" w:color="auto" w:fill="auto"/>
          </w:tcPr>
          <w:p w14:paraId="2DDBBB9B"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61B8FFB3"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Pocilloporidae</w:t>
            </w:r>
          </w:p>
        </w:tc>
        <w:tc>
          <w:tcPr>
            <w:tcW w:w="2363" w:type="dxa"/>
            <w:shd w:val="clear" w:color="auto" w:fill="auto"/>
          </w:tcPr>
          <w:p w14:paraId="1136606E"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Madracis auretenra</w:t>
            </w:r>
          </w:p>
        </w:tc>
        <w:tc>
          <w:tcPr>
            <w:tcW w:w="2363" w:type="dxa"/>
            <w:shd w:val="clear" w:color="auto" w:fill="auto"/>
          </w:tcPr>
          <w:p w14:paraId="6E1E0CBD" w14:textId="77777777" w:rsidR="00F046B2" w:rsidRPr="00BE42F2" w:rsidRDefault="00F046B2" w:rsidP="00D953B3">
            <w:pPr>
              <w:spacing w:line="360" w:lineRule="auto"/>
              <w:rPr>
                <w:rFonts w:ascii="Times New Roman" w:hAnsi="Times New Roman"/>
              </w:rPr>
            </w:pPr>
            <w:r w:rsidRPr="00BE42F2">
              <w:rPr>
                <w:rFonts w:ascii="Times New Roman" w:hAnsi="Times New Roman"/>
              </w:rPr>
              <w:t>Meyer and Weis lab</w:t>
            </w:r>
            <w:r w:rsidRPr="00BE42F2">
              <w:rPr>
                <w:rFonts w:ascii="Times New Roman" w:hAnsi="Times New Roman"/>
                <w:vertAlign w:val="superscript"/>
              </w:rPr>
              <w:t>4</w:t>
            </w:r>
          </w:p>
        </w:tc>
        <w:tc>
          <w:tcPr>
            <w:tcW w:w="2363" w:type="dxa"/>
            <w:shd w:val="clear" w:color="auto" w:fill="auto"/>
          </w:tcPr>
          <w:p w14:paraId="11DB9205"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2F7D77E6" w14:textId="77777777" w:rsidR="00F046B2" w:rsidRPr="00BE42F2" w:rsidRDefault="00F046B2" w:rsidP="00D953B3">
            <w:pPr>
              <w:spacing w:line="360" w:lineRule="auto"/>
              <w:rPr>
                <w:color w:val="000000"/>
              </w:rPr>
            </w:pPr>
            <w:r w:rsidRPr="00BE42F2">
              <w:rPr>
                <w:color w:val="000000"/>
              </w:rPr>
              <w:t>1442</w:t>
            </w:r>
          </w:p>
        </w:tc>
      </w:tr>
      <w:tr w:rsidR="00F046B2" w:rsidRPr="00BE42F2" w14:paraId="40067A0E" w14:textId="77777777" w:rsidTr="00D953B3">
        <w:tc>
          <w:tcPr>
            <w:tcW w:w="2362" w:type="dxa"/>
            <w:shd w:val="clear" w:color="auto" w:fill="auto"/>
          </w:tcPr>
          <w:p w14:paraId="330383A2"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28DDB78B"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Montastraeidae</w:t>
            </w:r>
          </w:p>
        </w:tc>
        <w:tc>
          <w:tcPr>
            <w:tcW w:w="2363" w:type="dxa"/>
            <w:shd w:val="clear" w:color="auto" w:fill="auto"/>
          </w:tcPr>
          <w:p w14:paraId="5CD7133B"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Montastraea cavernosa</w:t>
            </w:r>
          </w:p>
        </w:tc>
        <w:tc>
          <w:tcPr>
            <w:tcW w:w="2363" w:type="dxa"/>
            <w:shd w:val="clear" w:color="auto" w:fill="auto"/>
          </w:tcPr>
          <w:p w14:paraId="4209A011" w14:textId="77777777" w:rsidR="00F046B2" w:rsidRPr="00BE42F2" w:rsidRDefault="00F046B2" w:rsidP="00D953B3">
            <w:pPr>
              <w:spacing w:line="360" w:lineRule="auto"/>
              <w:rPr>
                <w:rFonts w:ascii="Times New Roman" w:hAnsi="Times New Roman"/>
              </w:rPr>
            </w:pPr>
            <w:r w:rsidRPr="00BE42F2">
              <w:rPr>
                <w:rFonts w:ascii="Times New Roman" w:hAnsi="Times New Roman"/>
              </w:rPr>
              <w:t>Meyer and Weis lab</w:t>
            </w:r>
            <w:r w:rsidRPr="00BE42F2">
              <w:rPr>
                <w:rFonts w:ascii="Times New Roman" w:hAnsi="Times New Roman"/>
                <w:vertAlign w:val="superscript"/>
              </w:rPr>
              <w:t>4</w:t>
            </w:r>
          </w:p>
        </w:tc>
        <w:tc>
          <w:tcPr>
            <w:tcW w:w="2363" w:type="dxa"/>
            <w:shd w:val="clear" w:color="auto" w:fill="auto"/>
          </w:tcPr>
          <w:p w14:paraId="064E79A8"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0B9DCE78" w14:textId="77777777" w:rsidR="00F046B2" w:rsidRPr="00BE42F2" w:rsidRDefault="00F046B2" w:rsidP="00D953B3">
            <w:pPr>
              <w:spacing w:line="360" w:lineRule="auto"/>
              <w:rPr>
                <w:color w:val="000000"/>
              </w:rPr>
            </w:pPr>
            <w:r w:rsidRPr="00BE42F2">
              <w:rPr>
                <w:color w:val="000000"/>
              </w:rPr>
              <w:t>1505</w:t>
            </w:r>
          </w:p>
        </w:tc>
      </w:tr>
      <w:tr w:rsidR="00F046B2" w:rsidRPr="00BE42F2" w14:paraId="6E895A2F" w14:textId="77777777" w:rsidTr="00D953B3">
        <w:tc>
          <w:tcPr>
            <w:tcW w:w="2362" w:type="dxa"/>
            <w:shd w:val="clear" w:color="auto" w:fill="auto"/>
          </w:tcPr>
          <w:p w14:paraId="53854839"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3B308414"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Pocilloporidae</w:t>
            </w:r>
          </w:p>
        </w:tc>
        <w:tc>
          <w:tcPr>
            <w:tcW w:w="2363" w:type="dxa"/>
            <w:shd w:val="clear" w:color="auto" w:fill="auto"/>
          </w:tcPr>
          <w:p w14:paraId="4F47D725" w14:textId="77777777" w:rsidR="00F046B2" w:rsidRPr="00BE42F2" w:rsidRDefault="00F046B2" w:rsidP="00D953B3">
            <w:pPr>
              <w:spacing w:line="360" w:lineRule="auto"/>
              <w:rPr>
                <w:rFonts w:ascii="Times New Roman" w:hAnsi="Times New Roman"/>
              </w:rPr>
            </w:pPr>
            <w:r w:rsidRPr="00BE42F2">
              <w:rPr>
                <w:rFonts w:ascii="Times New Roman" w:hAnsi="Times New Roman"/>
                <w:i/>
              </w:rPr>
              <w:t>Pocillopora damicornis</w:t>
            </w:r>
          </w:p>
        </w:tc>
        <w:tc>
          <w:tcPr>
            <w:tcW w:w="2363" w:type="dxa"/>
            <w:shd w:val="clear" w:color="auto" w:fill="auto"/>
          </w:tcPr>
          <w:p w14:paraId="12158527" w14:textId="77777777" w:rsidR="00F046B2" w:rsidRPr="00BE42F2" w:rsidRDefault="00F046B2" w:rsidP="00D953B3">
            <w:pPr>
              <w:spacing w:line="360" w:lineRule="auto"/>
              <w:rPr>
                <w:rFonts w:ascii="Times New Roman" w:hAnsi="Times New Roman"/>
              </w:rPr>
            </w:pPr>
            <w:r w:rsidRPr="00BE42F2">
              <w:rPr>
                <w:rFonts w:ascii="Times New Roman" w:hAnsi="Times New Roman"/>
              </w:rPr>
              <w:t>Traylor-Knowles et al. 2011</w:t>
            </w:r>
            <w:r w:rsidRPr="00BE42F2">
              <w:rPr>
                <w:rFonts w:ascii="Times New Roman" w:hAnsi="Times New Roman"/>
                <w:vertAlign w:val="superscript"/>
              </w:rPr>
              <w:t>5</w:t>
            </w:r>
          </w:p>
        </w:tc>
        <w:tc>
          <w:tcPr>
            <w:tcW w:w="2363" w:type="dxa"/>
            <w:shd w:val="clear" w:color="auto" w:fill="auto"/>
          </w:tcPr>
          <w:p w14:paraId="5EA1F36C"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0604504D" w14:textId="77777777" w:rsidR="00F046B2" w:rsidRPr="00BE42F2" w:rsidRDefault="00F046B2" w:rsidP="00D953B3">
            <w:pPr>
              <w:spacing w:line="360" w:lineRule="auto"/>
              <w:rPr>
                <w:color w:val="000000"/>
              </w:rPr>
            </w:pPr>
            <w:r w:rsidRPr="00BE42F2">
              <w:rPr>
                <w:color w:val="000000"/>
              </w:rPr>
              <w:t>1203</w:t>
            </w:r>
          </w:p>
        </w:tc>
      </w:tr>
      <w:tr w:rsidR="00F046B2" w:rsidRPr="00BE42F2" w14:paraId="4702D9D8" w14:textId="77777777" w:rsidTr="00D953B3">
        <w:tc>
          <w:tcPr>
            <w:tcW w:w="2362" w:type="dxa"/>
            <w:shd w:val="clear" w:color="auto" w:fill="auto"/>
          </w:tcPr>
          <w:p w14:paraId="2655B077"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405F9494"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Merulinidae</w:t>
            </w:r>
          </w:p>
        </w:tc>
        <w:tc>
          <w:tcPr>
            <w:tcW w:w="2363" w:type="dxa"/>
            <w:shd w:val="clear" w:color="auto" w:fill="auto"/>
          </w:tcPr>
          <w:p w14:paraId="2DD3D951"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Platygyra carnosus</w:t>
            </w:r>
          </w:p>
        </w:tc>
        <w:tc>
          <w:tcPr>
            <w:tcW w:w="2363" w:type="dxa"/>
            <w:shd w:val="clear" w:color="auto" w:fill="auto"/>
          </w:tcPr>
          <w:p w14:paraId="3344D351"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Sun et al. 2013</w:t>
            </w:r>
            <w:r w:rsidRPr="00BE42F2">
              <w:rPr>
                <w:rFonts w:ascii="Times New Roman" w:hAnsi="Times New Roman"/>
                <w:vertAlign w:val="superscript"/>
              </w:rPr>
              <w:t>6</w:t>
            </w:r>
          </w:p>
        </w:tc>
        <w:tc>
          <w:tcPr>
            <w:tcW w:w="2363" w:type="dxa"/>
            <w:shd w:val="clear" w:color="auto" w:fill="auto"/>
          </w:tcPr>
          <w:p w14:paraId="726B8A90"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22AFA2BC" w14:textId="77777777" w:rsidR="00F046B2" w:rsidRPr="00BE42F2" w:rsidRDefault="00F046B2" w:rsidP="00D953B3">
            <w:pPr>
              <w:spacing w:line="360" w:lineRule="auto"/>
              <w:rPr>
                <w:color w:val="000000"/>
              </w:rPr>
            </w:pPr>
            <w:r w:rsidRPr="00BE42F2">
              <w:rPr>
                <w:color w:val="000000"/>
              </w:rPr>
              <w:t>1561</w:t>
            </w:r>
          </w:p>
        </w:tc>
      </w:tr>
      <w:tr w:rsidR="00F046B2" w:rsidRPr="00BE42F2" w14:paraId="1BB85F7B" w14:textId="77777777" w:rsidTr="00D953B3">
        <w:tc>
          <w:tcPr>
            <w:tcW w:w="2362" w:type="dxa"/>
            <w:shd w:val="clear" w:color="auto" w:fill="auto"/>
          </w:tcPr>
          <w:p w14:paraId="536BFB40"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7092A089"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Favinae</w:t>
            </w:r>
          </w:p>
        </w:tc>
        <w:tc>
          <w:tcPr>
            <w:tcW w:w="2363" w:type="dxa"/>
            <w:shd w:val="clear" w:color="auto" w:fill="auto"/>
          </w:tcPr>
          <w:p w14:paraId="4425A340"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Pseudodiploria strigosa</w:t>
            </w:r>
          </w:p>
        </w:tc>
        <w:tc>
          <w:tcPr>
            <w:tcW w:w="2363" w:type="dxa"/>
            <w:shd w:val="clear" w:color="auto" w:fill="auto"/>
          </w:tcPr>
          <w:p w14:paraId="72F4B546" w14:textId="77777777" w:rsidR="00F046B2" w:rsidRPr="00BE42F2" w:rsidRDefault="00F046B2" w:rsidP="00D953B3">
            <w:pPr>
              <w:spacing w:line="360" w:lineRule="auto"/>
              <w:rPr>
                <w:rFonts w:ascii="Times New Roman" w:hAnsi="Times New Roman"/>
              </w:rPr>
            </w:pPr>
            <w:r w:rsidRPr="00BE42F2">
              <w:rPr>
                <w:rFonts w:ascii="Times New Roman" w:hAnsi="Times New Roman"/>
              </w:rPr>
              <w:t>Meyer and Weis lab</w:t>
            </w:r>
            <w:r w:rsidRPr="00BE42F2">
              <w:rPr>
                <w:rFonts w:ascii="Times New Roman" w:hAnsi="Times New Roman"/>
                <w:vertAlign w:val="superscript"/>
              </w:rPr>
              <w:t>4</w:t>
            </w:r>
          </w:p>
        </w:tc>
        <w:tc>
          <w:tcPr>
            <w:tcW w:w="2363" w:type="dxa"/>
            <w:shd w:val="clear" w:color="auto" w:fill="auto"/>
          </w:tcPr>
          <w:p w14:paraId="30DB3544"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64974ED6" w14:textId="77777777" w:rsidR="00F046B2" w:rsidRPr="00BE42F2" w:rsidRDefault="00F046B2" w:rsidP="00D953B3">
            <w:pPr>
              <w:spacing w:line="360" w:lineRule="auto"/>
              <w:rPr>
                <w:color w:val="000000"/>
              </w:rPr>
            </w:pPr>
            <w:r w:rsidRPr="00BE42F2">
              <w:rPr>
                <w:color w:val="000000"/>
              </w:rPr>
              <w:t>1358</w:t>
            </w:r>
          </w:p>
        </w:tc>
      </w:tr>
      <w:tr w:rsidR="00F046B2" w:rsidRPr="00BE42F2" w14:paraId="24AB863F" w14:textId="77777777" w:rsidTr="00D953B3">
        <w:tc>
          <w:tcPr>
            <w:tcW w:w="2362" w:type="dxa"/>
            <w:shd w:val="clear" w:color="auto" w:fill="auto"/>
          </w:tcPr>
          <w:p w14:paraId="0B33AF34" w14:textId="77777777" w:rsidR="00F046B2" w:rsidRPr="00BE42F2" w:rsidRDefault="00F046B2" w:rsidP="00D953B3">
            <w:pPr>
              <w:spacing w:line="360" w:lineRule="auto"/>
              <w:rPr>
                <w:rFonts w:ascii="Times New Roman" w:hAnsi="Times New Roman"/>
              </w:rPr>
            </w:pPr>
            <w:r w:rsidRPr="00BE42F2">
              <w:rPr>
                <w:rFonts w:ascii="Times New Roman" w:hAnsi="Times New Roman"/>
                <w:b/>
                <w:bCs/>
                <w:color w:val="000000"/>
              </w:rPr>
              <w:t>Corallimorph</w:t>
            </w:r>
          </w:p>
        </w:tc>
        <w:tc>
          <w:tcPr>
            <w:tcW w:w="2362" w:type="dxa"/>
            <w:shd w:val="clear" w:color="auto" w:fill="auto"/>
          </w:tcPr>
          <w:p w14:paraId="58D5163C"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Corallimorphidae</w:t>
            </w:r>
          </w:p>
        </w:tc>
        <w:tc>
          <w:tcPr>
            <w:tcW w:w="2363" w:type="dxa"/>
            <w:shd w:val="clear" w:color="auto" w:fill="auto"/>
          </w:tcPr>
          <w:p w14:paraId="01C2EC6B"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Corynactis australis</w:t>
            </w:r>
          </w:p>
        </w:tc>
        <w:tc>
          <w:tcPr>
            <w:tcW w:w="2363" w:type="dxa"/>
            <w:shd w:val="clear" w:color="auto" w:fill="auto"/>
          </w:tcPr>
          <w:p w14:paraId="2DF47893" w14:textId="77777777" w:rsidR="00F046B2" w:rsidRPr="00BE42F2" w:rsidRDefault="00F046B2" w:rsidP="00D953B3">
            <w:pPr>
              <w:spacing w:line="360" w:lineRule="auto"/>
              <w:rPr>
                <w:rFonts w:ascii="Times New Roman" w:hAnsi="Times New Roman"/>
              </w:rPr>
            </w:pPr>
            <w:r>
              <w:rPr>
                <w:rFonts w:ascii="Times New Roman" w:hAnsi="Times New Roman"/>
                <w:color w:val="000000"/>
              </w:rPr>
              <w:t>Lin et al. submitted.</w:t>
            </w:r>
          </w:p>
        </w:tc>
        <w:tc>
          <w:tcPr>
            <w:tcW w:w="2363" w:type="dxa"/>
            <w:shd w:val="clear" w:color="auto" w:fill="auto"/>
          </w:tcPr>
          <w:p w14:paraId="16C25F9F"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39DB146E" w14:textId="77777777" w:rsidR="00F046B2" w:rsidRPr="00BE42F2" w:rsidRDefault="00F046B2" w:rsidP="00D953B3">
            <w:pPr>
              <w:spacing w:line="360" w:lineRule="auto"/>
              <w:rPr>
                <w:color w:val="000000"/>
              </w:rPr>
            </w:pPr>
            <w:r w:rsidRPr="00BE42F2">
              <w:rPr>
                <w:color w:val="000000"/>
              </w:rPr>
              <w:t>1481</w:t>
            </w:r>
          </w:p>
        </w:tc>
      </w:tr>
      <w:tr w:rsidR="00F046B2" w:rsidRPr="00BE42F2" w14:paraId="04FEC14C" w14:textId="77777777" w:rsidTr="00D953B3">
        <w:tc>
          <w:tcPr>
            <w:tcW w:w="2362" w:type="dxa"/>
            <w:shd w:val="clear" w:color="auto" w:fill="auto"/>
          </w:tcPr>
          <w:p w14:paraId="6349E0E6"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2445B25F"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Discosomatidae</w:t>
            </w:r>
          </w:p>
        </w:tc>
        <w:tc>
          <w:tcPr>
            <w:tcW w:w="2363" w:type="dxa"/>
            <w:shd w:val="clear" w:color="auto" w:fill="auto"/>
          </w:tcPr>
          <w:p w14:paraId="20D89FAF"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Rhodactis indosinesis</w:t>
            </w:r>
          </w:p>
        </w:tc>
        <w:tc>
          <w:tcPr>
            <w:tcW w:w="2363" w:type="dxa"/>
            <w:shd w:val="clear" w:color="auto" w:fill="auto"/>
          </w:tcPr>
          <w:p w14:paraId="3172C6C1"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 xml:space="preserve">Lin et al. </w:t>
            </w:r>
            <w:r>
              <w:rPr>
                <w:rFonts w:ascii="Times New Roman" w:hAnsi="Times New Roman"/>
                <w:color w:val="000000"/>
              </w:rPr>
              <w:t>submitted.</w:t>
            </w:r>
          </w:p>
        </w:tc>
        <w:tc>
          <w:tcPr>
            <w:tcW w:w="2363" w:type="dxa"/>
            <w:shd w:val="clear" w:color="auto" w:fill="auto"/>
          </w:tcPr>
          <w:p w14:paraId="1B3FAD36"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74E4B4F3" w14:textId="77777777" w:rsidR="00F046B2" w:rsidRPr="00BE42F2" w:rsidRDefault="00F046B2" w:rsidP="00D953B3">
            <w:pPr>
              <w:spacing w:line="360" w:lineRule="auto"/>
              <w:rPr>
                <w:color w:val="000000"/>
              </w:rPr>
            </w:pPr>
            <w:r w:rsidRPr="00BE42F2">
              <w:rPr>
                <w:color w:val="000000"/>
              </w:rPr>
              <w:t>1261</w:t>
            </w:r>
          </w:p>
        </w:tc>
      </w:tr>
      <w:tr w:rsidR="00F046B2" w:rsidRPr="00BE42F2" w14:paraId="355CF056" w14:textId="77777777" w:rsidTr="00D953B3">
        <w:tc>
          <w:tcPr>
            <w:tcW w:w="2362" w:type="dxa"/>
            <w:shd w:val="clear" w:color="auto" w:fill="auto"/>
          </w:tcPr>
          <w:p w14:paraId="3C4A2D31"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04B48D91"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Ricordeidae</w:t>
            </w:r>
          </w:p>
        </w:tc>
        <w:tc>
          <w:tcPr>
            <w:tcW w:w="2363" w:type="dxa"/>
            <w:shd w:val="clear" w:color="auto" w:fill="auto"/>
          </w:tcPr>
          <w:p w14:paraId="1DA7A235"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Ricordea yuma</w:t>
            </w:r>
          </w:p>
        </w:tc>
        <w:tc>
          <w:tcPr>
            <w:tcW w:w="2363" w:type="dxa"/>
            <w:shd w:val="clear" w:color="auto" w:fill="auto"/>
          </w:tcPr>
          <w:p w14:paraId="43069D60" w14:textId="77777777" w:rsidR="00F046B2" w:rsidRPr="00BE42F2" w:rsidRDefault="00F046B2" w:rsidP="00D953B3">
            <w:pPr>
              <w:spacing w:line="360" w:lineRule="auto"/>
              <w:rPr>
                <w:rFonts w:ascii="Times New Roman" w:hAnsi="Times New Roman"/>
              </w:rPr>
            </w:pPr>
            <w:r>
              <w:rPr>
                <w:rFonts w:ascii="Times New Roman" w:hAnsi="Times New Roman"/>
                <w:color w:val="000000"/>
              </w:rPr>
              <w:t>Lin et al. submitted.</w:t>
            </w:r>
          </w:p>
        </w:tc>
        <w:tc>
          <w:tcPr>
            <w:tcW w:w="2363" w:type="dxa"/>
            <w:shd w:val="clear" w:color="auto" w:fill="auto"/>
          </w:tcPr>
          <w:p w14:paraId="6FD048B5"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248249FB" w14:textId="77777777" w:rsidR="00F046B2" w:rsidRPr="00BE42F2" w:rsidRDefault="00F046B2" w:rsidP="00D953B3">
            <w:pPr>
              <w:spacing w:line="360" w:lineRule="auto"/>
              <w:rPr>
                <w:color w:val="000000"/>
              </w:rPr>
            </w:pPr>
            <w:r w:rsidRPr="00BE42F2">
              <w:rPr>
                <w:color w:val="000000"/>
              </w:rPr>
              <w:t>1401</w:t>
            </w:r>
          </w:p>
        </w:tc>
      </w:tr>
      <w:tr w:rsidR="00F046B2" w:rsidRPr="00BE42F2" w14:paraId="27C953E5" w14:textId="77777777" w:rsidTr="00D953B3">
        <w:tc>
          <w:tcPr>
            <w:tcW w:w="2362" w:type="dxa"/>
            <w:shd w:val="clear" w:color="auto" w:fill="auto"/>
          </w:tcPr>
          <w:p w14:paraId="497CD807" w14:textId="77777777" w:rsidR="00F046B2" w:rsidRPr="00BE42F2" w:rsidRDefault="00F046B2" w:rsidP="00D953B3">
            <w:pPr>
              <w:spacing w:line="360" w:lineRule="auto"/>
              <w:rPr>
                <w:rFonts w:ascii="Times New Roman" w:hAnsi="Times New Roman"/>
              </w:rPr>
            </w:pPr>
            <w:r w:rsidRPr="00BE42F2">
              <w:rPr>
                <w:rFonts w:ascii="Times New Roman" w:hAnsi="Times New Roman"/>
                <w:b/>
                <w:bCs/>
                <w:color w:val="000000"/>
              </w:rPr>
              <w:t>Actiniaria</w:t>
            </w:r>
          </w:p>
        </w:tc>
        <w:tc>
          <w:tcPr>
            <w:tcW w:w="2362" w:type="dxa"/>
            <w:shd w:val="clear" w:color="auto" w:fill="auto"/>
          </w:tcPr>
          <w:p w14:paraId="557854A4" w14:textId="77777777" w:rsidR="00F046B2" w:rsidRPr="00BE42F2" w:rsidRDefault="00F046B2" w:rsidP="00D953B3">
            <w:pPr>
              <w:spacing w:line="360" w:lineRule="auto"/>
              <w:rPr>
                <w:rFonts w:ascii="Times New Roman" w:hAnsi="Times New Roman"/>
              </w:rPr>
            </w:pPr>
          </w:p>
        </w:tc>
        <w:tc>
          <w:tcPr>
            <w:tcW w:w="2363" w:type="dxa"/>
            <w:shd w:val="clear" w:color="auto" w:fill="auto"/>
          </w:tcPr>
          <w:p w14:paraId="0453F817"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Nematostella vectensis</w:t>
            </w:r>
          </w:p>
        </w:tc>
        <w:tc>
          <w:tcPr>
            <w:tcW w:w="2363" w:type="dxa"/>
            <w:shd w:val="clear" w:color="auto" w:fill="auto"/>
          </w:tcPr>
          <w:p w14:paraId="24613C09"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NCBI PRJNA19965</w:t>
            </w:r>
          </w:p>
        </w:tc>
        <w:tc>
          <w:tcPr>
            <w:tcW w:w="2363" w:type="dxa"/>
            <w:shd w:val="clear" w:color="auto" w:fill="auto"/>
          </w:tcPr>
          <w:p w14:paraId="4148E928" w14:textId="77777777" w:rsidR="00F046B2" w:rsidRPr="00BE42F2" w:rsidRDefault="00F046B2" w:rsidP="00D953B3">
            <w:pPr>
              <w:spacing w:line="360" w:lineRule="auto"/>
              <w:rPr>
                <w:rFonts w:ascii="Times New Roman" w:hAnsi="Times New Roman"/>
              </w:rPr>
            </w:pPr>
            <w:r w:rsidRPr="00BE42F2">
              <w:rPr>
                <w:color w:val="000000"/>
              </w:rPr>
              <w:t>Genome</w:t>
            </w:r>
          </w:p>
        </w:tc>
        <w:tc>
          <w:tcPr>
            <w:tcW w:w="2363" w:type="dxa"/>
            <w:shd w:val="clear" w:color="auto" w:fill="auto"/>
          </w:tcPr>
          <w:p w14:paraId="25256CBD" w14:textId="77777777" w:rsidR="00F046B2" w:rsidRPr="00BE42F2" w:rsidRDefault="00F046B2" w:rsidP="00D953B3">
            <w:pPr>
              <w:spacing w:line="360" w:lineRule="auto"/>
              <w:rPr>
                <w:color w:val="000000"/>
              </w:rPr>
            </w:pPr>
            <w:r w:rsidRPr="00BE42F2">
              <w:rPr>
                <w:color w:val="000000"/>
              </w:rPr>
              <w:t>Primer</w:t>
            </w:r>
          </w:p>
        </w:tc>
      </w:tr>
      <w:tr w:rsidR="00F046B2" w:rsidRPr="00BE42F2" w14:paraId="70202CCA" w14:textId="77777777" w:rsidTr="00D953B3">
        <w:tc>
          <w:tcPr>
            <w:tcW w:w="2362" w:type="dxa"/>
            <w:shd w:val="clear" w:color="auto" w:fill="auto"/>
          </w:tcPr>
          <w:p w14:paraId="71A44BBC" w14:textId="77777777" w:rsidR="00F046B2" w:rsidRPr="00BE42F2" w:rsidRDefault="00F046B2" w:rsidP="00D953B3">
            <w:pPr>
              <w:spacing w:line="360" w:lineRule="auto"/>
              <w:rPr>
                <w:rFonts w:ascii="Times New Roman" w:hAnsi="Times New Roman"/>
              </w:rPr>
            </w:pPr>
          </w:p>
        </w:tc>
        <w:tc>
          <w:tcPr>
            <w:tcW w:w="2362" w:type="dxa"/>
            <w:shd w:val="clear" w:color="auto" w:fill="auto"/>
          </w:tcPr>
          <w:p w14:paraId="46FA5971" w14:textId="77777777" w:rsidR="00F046B2" w:rsidRPr="00BE42F2" w:rsidRDefault="00F046B2" w:rsidP="00D953B3">
            <w:pPr>
              <w:spacing w:line="360" w:lineRule="auto"/>
              <w:rPr>
                <w:rFonts w:ascii="Times New Roman" w:hAnsi="Times New Roman"/>
              </w:rPr>
            </w:pPr>
          </w:p>
        </w:tc>
        <w:tc>
          <w:tcPr>
            <w:tcW w:w="2363" w:type="dxa"/>
            <w:shd w:val="clear" w:color="auto" w:fill="auto"/>
          </w:tcPr>
          <w:p w14:paraId="0D461E7E"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Anthopleura elegantissima</w:t>
            </w:r>
          </w:p>
        </w:tc>
        <w:tc>
          <w:tcPr>
            <w:tcW w:w="2363" w:type="dxa"/>
            <w:shd w:val="clear" w:color="auto" w:fill="auto"/>
          </w:tcPr>
          <w:p w14:paraId="560C8477" w14:textId="77777777" w:rsidR="00F046B2" w:rsidRPr="00BE42F2" w:rsidRDefault="00F046B2" w:rsidP="00D953B3">
            <w:pPr>
              <w:spacing w:line="360" w:lineRule="auto"/>
              <w:rPr>
                <w:rFonts w:ascii="Times New Roman" w:hAnsi="Times New Roman"/>
              </w:rPr>
            </w:pPr>
            <w:r w:rsidRPr="00BE42F2">
              <w:rPr>
                <w:rFonts w:ascii="Times New Roman" w:hAnsi="Times New Roman"/>
              </w:rPr>
              <w:t>Meyer and Weis lab</w:t>
            </w:r>
            <w:r w:rsidRPr="00BE42F2">
              <w:rPr>
                <w:rFonts w:ascii="Times New Roman" w:hAnsi="Times New Roman"/>
                <w:vertAlign w:val="superscript"/>
              </w:rPr>
              <w:t>4</w:t>
            </w:r>
          </w:p>
        </w:tc>
        <w:tc>
          <w:tcPr>
            <w:tcW w:w="2363" w:type="dxa"/>
            <w:shd w:val="clear" w:color="auto" w:fill="auto"/>
          </w:tcPr>
          <w:p w14:paraId="3942A804"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4D3472AD" w14:textId="77777777" w:rsidR="00F046B2" w:rsidRPr="00BE42F2" w:rsidRDefault="00F046B2" w:rsidP="00D953B3">
            <w:pPr>
              <w:spacing w:line="360" w:lineRule="auto"/>
              <w:rPr>
                <w:color w:val="000000"/>
              </w:rPr>
            </w:pPr>
            <w:r w:rsidRPr="00BE42F2">
              <w:rPr>
                <w:color w:val="000000"/>
              </w:rPr>
              <w:t>1448</w:t>
            </w:r>
          </w:p>
        </w:tc>
      </w:tr>
      <w:tr w:rsidR="00F046B2" w:rsidRPr="00BE42F2" w14:paraId="3B4729C2" w14:textId="77777777" w:rsidTr="00D953B3">
        <w:tc>
          <w:tcPr>
            <w:tcW w:w="2362" w:type="dxa"/>
            <w:shd w:val="clear" w:color="auto" w:fill="auto"/>
          </w:tcPr>
          <w:p w14:paraId="1D632856" w14:textId="77777777" w:rsidR="00F046B2" w:rsidRPr="00BE42F2" w:rsidRDefault="00F046B2" w:rsidP="00D953B3">
            <w:pPr>
              <w:spacing w:line="360" w:lineRule="auto"/>
              <w:rPr>
                <w:rFonts w:ascii="Times New Roman" w:hAnsi="Times New Roman"/>
              </w:rPr>
            </w:pPr>
            <w:r w:rsidRPr="00BE42F2">
              <w:rPr>
                <w:rFonts w:ascii="Times New Roman" w:hAnsi="Times New Roman"/>
                <w:b/>
                <w:bCs/>
                <w:color w:val="000000"/>
              </w:rPr>
              <w:t>Octocorallia</w:t>
            </w:r>
          </w:p>
        </w:tc>
        <w:tc>
          <w:tcPr>
            <w:tcW w:w="2362" w:type="dxa"/>
            <w:shd w:val="clear" w:color="auto" w:fill="auto"/>
          </w:tcPr>
          <w:p w14:paraId="000F34E7" w14:textId="77777777" w:rsidR="00F046B2" w:rsidRPr="00BE42F2" w:rsidRDefault="00F046B2" w:rsidP="00D953B3">
            <w:pPr>
              <w:spacing w:line="360" w:lineRule="auto"/>
              <w:rPr>
                <w:rFonts w:ascii="Times New Roman" w:hAnsi="Times New Roman"/>
              </w:rPr>
            </w:pPr>
          </w:p>
        </w:tc>
        <w:tc>
          <w:tcPr>
            <w:tcW w:w="2363" w:type="dxa"/>
            <w:shd w:val="clear" w:color="auto" w:fill="auto"/>
          </w:tcPr>
          <w:p w14:paraId="626D243C"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Gorgonia ventalina</w:t>
            </w:r>
          </w:p>
        </w:tc>
        <w:tc>
          <w:tcPr>
            <w:tcW w:w="2363" w:type="dxa"/>
            <w:shd w:val="clear" w:color="auto" w:fill="auto"/>
          </w:tcPr>
          <w:p w14:paraId="1013F2FC" w14:textId="77777777" w:rsidR="00F046B2" w:rsidRPr="00BE42F2" w:rsidRDefault="00F046B2" w:rsidP="00D953B3">
            <w:pPr>
              <w:spacing w:line="360" w:lineRule="auto"/>
              <w:rPr>
                <w:rFonts w:ascii="Times New Roman" w:hAnsi="Times New Roman"/>
              </w:rPr>
            </w:pPr>
            <w:r w:rsidRPr="00BE42F2">
              <w:rPr>
                <w:rFonts w:ascii="Times New Roman" w:hAnsi="Times New Roman"/>
                <w:color w:val="000000"/>
              </w:rPr>
              <w:t>Colleen  et al. 2013</w:t>
            </w:r>
            <w:r w:rsidRPr="00BE42F2">
              <w:rPr>
                <w:rFonts w:ascii="Times New Roman" w:hAnsi="Times New Roman"/>
                <w:vertAlign w:val="superscript"/>
              </w:rPr>
              <w:t>7</w:t>
            </w:r>
          </w:p>
        </w:tc>
        <w:tc>
          <w:tcPr>
            <w:tcW w:w="2363" w:type="dxa"/>
            <w:shd w:val="clear" w:color="auto" w:fill="auto"/>
          </w:tcPr>
          <w:p w14:paraId="685D5ED9" w14:textId="77777777" w:rsidR="00F046B2" w:rsidRPr="00BE42F2" w:rsidRDefault="00F046B2" w:rsidP="00D953B3">
            <w:pPr>
              <w:spacing w:line="360" w:lineRule="auto"/>
              <w:rPr>
                <w:rFonts w:ascii="Times New Roman" w:hAnsi="Times New Roman"/>
              </w:rPr>
            </w:pPr>
            <w:r w:rsidRPr="00BE42F2">
              <w:rPr>
                <w:color w:val="000000"/>
              </w:rPr>
              <w:t>Transcriptome</w:t>
            </w:r>
          </w:p>
        </w:tc>
        <w:tc>
          <w:tcPr>
            <w:tcW w:w="2363" w:type="dxa"/>
            <w:shd w:val="clear" w:color="auto" w:fill="auto"/>
          </w:tcPr>
          <w:p w14:paraId="610C989A" w14:textId="77777777" w:rsidR="00F046B2" w:rsidRPr="00BE42F2" w:rsidRDefault="00F046B2" w:rsidP="00D953B3">
            <w:pPr>
              <w:spacing w:line="360" w:lineRule="auto"/>
              <w:rPr>
                <w:color w:val="000000"/>
              </w:rPr>
            </w:pPr>
            <w:r w:rsidRPr="00BE42F2">
              <w:rPr>
                <w:color w:val="000000"/>
              </w:rPr>
              <w:t>1421</w:t>
            </w:r>
          </w:p>
        </w:tc>
      </w:tr>
      <w:tr w:rsidR="00F046B2" w:rsidRPr="00BE42F2" w14:paraId="4B30FAB0" w14:textId="77777777" w:rsidTr="00D953B3">
        <w:tc>
          <w:tcPr>
            <w:tcW w:w="2362" w:type="dxa"/>
            <w:shd w:val="clear" w:color="auto" w:fill="auto"/>
          </w:tcPr>
          <w:p w14:paraId="3419BAD7" w14:textId="77777777" w:rsidR="00F046B2" w:rsidRPr="00BE42F2" w:rsidRDefault="00F046B2" w:rsidP="00D953B3">
            <w:pPr>
              <w:spacing w:line="360" w:lineRule="auto"/>
              <w:rPr>
                <w:rFonts w:ascii="Times New Roman" w:hAnsi="Times New Roman"/>
              </w:rPr>
            </w:pPr>
            <w:r w:rsidRPr="00BE42F2">
              <w:rPr>
                <w:rFonts w:ascii="Times New Roman" w:hAnsi="Times New Roman"/>
                <w:b/>
                <w:bCs/>
                <w:color w:val="000000"/>
              </w:rPr>
              <w:t>Hydra</w:t>
            </w:r>
          </w:p>
        </w:tc>
        <w:tc>
          <w:tcPr>
            <w:tcW w:w="2362" w:type="dxa"/>
            <w:shd w:val="clear" w:color="auto" w:fill="auto"/>
          </w:tcPr>
          <w:p w14:paraId="5A2188E5" w14:textId="77777777" w:rsidR="00F046B2" w:rsidRPr="00BE42F2" w:rsidRDefault="00F046B2" w:rsidP="00D953B3">
            <w:pPr>
              <w:spacing w:line="360" w:lineRule="auto"/>
              <w:rPr>
                <w:rFonts w:ascii="Times New Roman" w:hAnsi="Times New Roman"/>
              </w:rPr>
            </w:pPr>
          </w:p>
        </w:tc>
        <w:tc>
          <w:tcPr>
            <w:tcW w:w="2363" w:type="dxa"/>
            <w:shd w:val="clear" w:color="auto" w:fill="auto"/>
          </w:tcPr>
          <w:p w14:paraId="538D9B46" w14:textId="77777777" w:rsidR="00F046B2" w:rsidRPr="00BE42F2" w:rsidRDefault="00F046B2" w:rsidP="00D953B3">
            <w:pPr>
              <w:spacing w:line="360" w:lineRule="auto"/>
              <w:rPr>
                <w:rFonts w:ascii="Times New Roman" w:hAnsi="Times New Roman"/>
              </w:rPr>
            </w:pPr>
            <w:r w:rsidRPr="00BE42F2">
              <w:rPr>
                <w:rFonts w:ascii="Times New Roman" w:hAnsi="Times New Roman"/>
                <w:i/>
                <w:color w:val="000000"/>
              </w:rPr>
              <w:t>Hydra magnipapillata</w:t>
            </w:r>
          </w:p>
        </w:tc>
        <w:tc>
          <w:tcPr>
            <w:tcW w:w="2363" w:type="dxa"/>
            <w:shd w:val="clear" w:color="auto" w:fill="auto"/>
          </w:tcPr>
          <w:p w14:paraId="7A8A9D59" w14:textId="77777777" w:rsidR="00F046B2" w:rsidRPr="00BE42F2" w:rsidRDefault="00F046B2" w:rsidP="00D953B3">
            <w:pPr>
              <w:spacing w:line="360" w:lineRule="auto"/>
              <w:rPr>
                <w:rFonts w:ascii="Times New Roman" w:hAnsi="Times New Roman"/>
              </w:rPr>
            </w:pPr>
          </w:p>
        </w:tc>
        <w:tc>
          <w:tcPr>
            <w:tcW w:w="2363" w:type="dxa"/>
            <w:shd w:val="clear" w:color="auto" w:fill="auto"/>
          </w:tcPr>
          <w:p w14:paraId="32C36621" w14:textId="77777777" w:rsidR="00F046B2" w:rsidRPr="00BE42F2" w:rsidRDefault="00F046B2" w:rsidP="00D953B3">
            <w:pPr>
              <w:spacing w:line="360" w:lineRule="auto"/>
              <w:rPr>
                <w:rFonts w:ascii="Times New Roman" w:hAnsi="Times New Roman"/>
              </w:rPr>
            </w:pPr>
            <w:r w:rsidRPr="00BE42F2">
              <w:rPr>
                <w:color w:val="000000"/>
              </w:rPr>
              <w:t>Genome</w:t>
            </w:r>
          </w:p>
        </w:tc>
        <w:tc>
          <w:tcPr>
            <w:tcW w:w="2363" w:type="dxa"/>
            <w:shd w:val="clear" w:color="auto" w:fill="auto"/>
          </w:tcPr>
          <w:p w14:paraId="0D31D124" w14:textId="77777777" w:rsidR="00F046B2" w:rsidRPr="00BE42F2" w:rsidRDefault="00F046B2" w:rsidP="00D953B3">
            <w:pPr>
              <w:spacing w:line="360" w:lineRule="auto"/>
              <w:rPr>
                <w:color w:val="000000"/>
              </w:rPr>
            </w:pPr>
            <w:r w:rsidRPr="00BE42F2">
              <w:rPr>
                <w:color w:val="000000"/>
              </w:rPr>
              <w:t>Primer</w:t>
            </w:r>
          </w:p>
        </w:tc>
      </w:tr>
    </w:tbl>
    <w:p w14:paraId="310E1D03" w14:textId="77777777" w:rsidR="00F046B2" w:rsidRPr="00E001BC" w:rsidRDefault="00F046B2" w:rsidP="00F046B2">
      <w:pPr>
        <w:spacing w:line="360" w:lineRule="auto"/>
        <w:rPr>
          <w:rFonts w:ascii="Times New Roman" w:hAnsi="Times New Roman"/>
        </w:rPr>
      </w:pPr>
    </w:p>
    <w:p w14:paraId="057BC539" w14:textId="77777777" w:rsidR="00F046B2" w:rsidRDefault="00F046B2" w:rsidP="00F046B2">
      <w:pPr>
        <w:numPr>
          <w:ilvl w:val="0"/>
          <w:numId w:val="1"/>
        </w:numPr>
        <w:spacing w:line="360" w:lineRule="auto"/>
        <w:rPr>
          <w:rFonts w:ascii="Times New Roman" w:hAnsi="Times New Roman"/>
        </w:rPr>
      </w:pPr>
      <w:r w:rsidRPr="008A4971">
        <w:rPr>
          <w:rFonts w:ascii="Times New Roman" w:hAnsi="Times New Roman"/>
        </w:rPr>
        <w:t>Moya A, Huisman L, Ball EE, Hayward DC, Grasso LC, Chua CM, Woo HN, Gattuso JP, Forêt S, Miller DJ. Whole transcriptome analysis of the coral Acropora millepora reveals complex responses to CO</w:t>
      </w:r>
      <w:r w:rsidRPr="008A4971">
        <w:rPr>
          <w:rFonts w:ascii="Adobe Caslon Pro Bold" w:hAnsi="Adobe Caslon Pro Bold" w:cs="Adobe Caslon Pro Bold"/>
        </w:rPr>
        <w:t>₂</w:t>
      </w:r>
      <w:r w:rsidRPr="008A4971">
        <w:rPr>
          <w:rFonts w:ascii="Times New Roman" w:hAnsi="Times New Roman"/>
        </w:rPr>
        <w:t>-driven acidification during the initiation of calcification. Mol Ecol. 2012 May;21(10):2440-54.</w:t>
      </w:r>
    </w:p>
    <w:p w14:paraId="7849D9F8" w14:textId="77777777" w:rsidR="00F046B2" w:rsidRDefault="00F046B2" w:rsidP="00F046B2">
      <w:pPr>
        <w:numPr>
          <w:ilvl w:val="0"/>
          <w:numId w:val="1"/>
        </w:numPr>
        <w:spacing w:line="360" w:lineRule="auto"/>
        <w:rPr>
          <w:rFonts w:ascii="Times New Roman" w:hAnsi="Times New Roman"/>
        </w:rPr>
      </w:pPr>
      <w:r w:rsidRPr="00E001BC">
        <w:rPr>
          <w:rFonts w:ascii="Times New Roman" w:hAnsi="Times New Roman"/>
        </w:rPr>
        <w:t>Chuya Shinzato, Eiichi Shoguchi, Takeshi Kawashima, Mayuko Hamada, Kanako Hisata, Makiko Tanaka, Manabu Fujie, Mayuki Fujiwara,</w:t>
      </w:r>
      <w:r>
        <w:rPr>
          <w:rFonts w:ascii="Times New Roman" w:hAnsi="Times New Roman"/>
        </w:rPr>
        <w:t xml:space="preserve"> </w:t>
      </w:r>
      <w:r w:rsidRPr="00E001BC">
        <w:rPr>
          <w:rFonts w:ascii="Times New Roman" w:hAnsi="Times New Roman"/>
        </w:rPr>
        <w:t xml:space="preserve">Ryo Koyanagi, Tetsuro Ikuta, Asao Fujiyama, David J. Miller, Nori Satoh. 2011. Using the Acropora digitifera genome to understand coral responses to environmental change. </w:t>
      </w:r>
      <w:r w:rsidRPr="00E001BC">
        <w:rPr>
          <w:rFonts w:ascii="Times New Roman" w:hAnsi="Times New Roman"/>
          <w:i/>
        </w:rPr>
        <w:t>Nature</w:t>
      </w:r>
      <w:r w:rsidRPr="00E001BC">
        <w:rPr>
          <w:rFonts w:ascii="Times New Roman" w:hAnsi="Times New Roman"/>
        </w:rPr>
        <w:t xml:space="preserve"> 476: 320–323.</w:t>
      </w:r>
    </w:p>
    <w:p w14:paraId="443BFD20" w14:textId="77777777" w:rsidR="00F046B2" w:rsidRDefault="00F046B2" w:rsidP="00F046B2">
      <w:pPr>
        <w:numPr>
          <w:ilvl w:val="0"/>
          <w:numId w:val="1"/>
        </w:numPr>
        <w:spacing w:line="360" w:lineRule="auto"/>
        <w:rPr>
          <w:rFonts w:ascii="Times New Roman" w:hAnsi="Times New Roman"/>
        </w:rPr>
      </w:pPr>
      <w:r w:rsidRPr="00E001BC">
        <w:rPr>
          <w:rFonts w:ascii="Times New Roman" w:hAnsi="Times New Roman"/>
        </w:rPr>
        <w:t>Chuya Shinzato, Mayuri Inoue, Makoto Kusakabe. A Snapshot of a Coral “Holobiont”: A Transcriptome Assembly of the Scleractinian Coral, Porites, Captures a Wide Variety of Genes from Both the Host and Symbiotic Zooxanthellae. PLoS ONE 9: e85182.</w:t>
      </w:r>
    </w:p>
    <w:p w14:paraId="4C6A7C2E" w14:textId="77777777" w:rsidR="005A4D58" w:rsidRDefault="00F046B2" w:rsidP="00FA59DC">
      <w:pPr>
        <w:numPr>
          <w:ilvl w:val="0"/>
          <w:numId w:val="1"/>
        </w:numPr>
        <w:spacing w:line="360" w:lineRule="auto"/>
        <w:rPr>
          <w:rFonts w:ascii="Times New Roman" w:hAnsi="Times New Roman"/>
        </w:rPr>
      </w:pPr>
      <w:r w:rsidRPr="00E001BC">
        <w:rPr>
          <w:rFonts w:ascii="Times New Roman" w:hAnsi="Times New Roman"/>
        </w:rPr>
        <w:t xml:space="preserve">Meyer and Weis lab: </w:t>
      </w:r>
      <w:hyperlink r:id="rId6" w:history="1">
        <w:r w:rsidRPr="00E001BC">
          <w:rPr>
            <w:rStyle w:val="Hyperlink"/>
            <w:rFonts w:ascii="Times New Roman" w:hAnsi="Times New Roman"/>
          </w:rPr>
          <w:t>http://people.oregonstate.edu/~meyere/data.html</w:t>
        </w:r>
      </w:hyperlink>
    </w:p>
    <w:p w14:paraId="2C2ADC76" w14:textId="77777777" w:rsidR="00FA59DC" w:rsidRDefault="00FA59DC" w:rsidP="00FA59DC">
      <w:pPr>
        <w:numPr>
          <w:ilvl w:val="0"/>
          <w:numId w:val="1"/>
        </w:numPr>
        <w:spacing w:line="360" w:lineRule="auto"/>
        <w:rPr>
          <w:rFonts w:ascii="Times New Roman" w:hAnsi="Times New Roman"/>
        </w:rPr>
      </w:pPr>
      <w:r w:rsidRPr="00E001BC">
        <w:t>Nikki Traylor-Knowles, Brian R. Granger, Tristan J. Lubinski, Jignesh R. Parikh, Sara Garamszegi, Yu Xia, Jarrod A. Marto, Les Kaufman,</w:t>
      </w:r>
      <w:r>
        <w:t xml:space="preserve"> </w:t>
      </w:r>
      <w:r w:rsidRPr="00E001BC">
        <w:t>John R Finnerty. 2011. Production of a reference transcriptome and transcriptomic database (PocilloporaBase) for the cauliflower coral,</w:t>
      </w:r>
      <w:r>
        <w:t xml:space="preserve"> </w:t>
      </w:r>
      <w:r w:rsidRPr="00E001BC">
        <w:rPr>
          <w:i/>
        </w:rPr>
        <w:t>Pocillopora damicornis</w:t>
      </w:r>
      <w:r w:rsidRPr="00E001BC">
        <w:t xml:space="preserve">. </w:t>
      </w:r>
      <w:r w:rsidRPr="00E001BC">
        <w:rPr>
          <w:i/>
        </w:rPr>
        <w:t>BMC Genomics</w:t>
      </w:r>
      <w:r w:rsidRPr="00E001BC">
        <w:t xml:space="preserve"> 12: 585.</w:t>
      </w:r>
    </w:p>
    <w:p w14:paraId="035855FD" w14:textId="77777777" w:rsidR="00FA59DC" w:rsidRPr="00587DFD" w:rsidRDefault="00FA59DC" w:rsidP="00FA59DC">
      <w:pPr>
        <w:numPr>
          <w:ilvl w:val="0"/>
          <w:numId w:val="1"/>
        </w:numPr>
        <w:spacing w:line="360" w:lineRule="auto"/>
        <w:rPr>
          <w:rFonts w:ascii="Times New Roman" w:hAnsi="Times New Roman"/>
        </w:rPr>
      </w:pPr>
      <w:r w:rsidRPr="00E001BC">
        <w:t>Sun J, Chen Q, Lun JCY, Xu J, Qiu J-W. 2013. PcarnBase: development of a transcriptomic database for the brain coral </w:t>
      </w:r>
      <w:r w:rsidRPr="00E001BC">
        <w:rPr>
          <w:i/>
        </w:rPr>
        <w:t>Platygyra carnosus</w:t>
      </w:r>
      <w:r w:rsidRPr="00E001BC">
        <w:t xml:space="preserve">. </w:t>
      </w:r>
      <w:r w:rsidRPr="00E001BC">
        <w:rPr>
          <w:i/>
        </w:rPr>
        <w:t>Mar Biotechnol.</w:t>
      </w:r>
      <w:r w:rsidRPr="00E001BC">
        <w:t xml:space="preserve"> 15:244-251.</w:t>
      </w:r>
    </w:p>
    <w:p w14:paraId="6EE78A72" w14:textId="77777777" w:rsidR="00FA59DC" w:rsidRPr="00FA59DC" w:rsidRDefault="00FA59DC" w:rsidP="00FA59DC">
      <w:pPr>
        <w:numPr>
          <w:ilvl w:val="0"/>
          <w:numId w:val="1"/>
        </w:numPr>
        <w:spacing w:line="360" w:lineRule="auto"/>
        <w:rPr>
          <w:rFonts w:ascii="Times New Roman" w:hAnsi="Times New Roman"/>
        </w:rPr>
      </w:pPr>
      <w:r w:rsidRPr="00E001BC">
        <w:t xml:space="preserve">Colleen A. Burge, Morgan E. Mouchka, C. Drew Harvell, Steven Roberts. 2013. Immune response of the Caribbean sea fan, </w:t>
      </w:r>
      <w:r w:rsidRPr="00E001BC">
        <w:rPr>
          <w:i/>
        </w:rPr>
        <w:t>Gorgonia</w:t>
      </w:r>
      <w:r>
        <w:rPr>
          <w:i/>
        </w:rPr>
        <w:t xml:space="preserve"> </w:t>
      </w:r>
      <w:r w:rsidRPr="00E001BC">
        <w:rPr>
          <w:i/>
        </w:rPr>
        <w:t>ventalina</w:t>
      </w:r>
      <w:r w:rsidRPr="00E001BC">
        <w:t xml:space="preserve">, exposed to an </w:t>
      </w:r>
      <w:r w:rsidRPr="00E001BC">
        <w:rPr>
          <w:i/>
        </w:rPr>
        <w:t>Aplanochytrium</w:t>
      </w:r>
      <w:r w:rsidRPr="00E001BC">
        <w:t xml:space="preserve"> parasite as revealed by transcriptome sequencing. </w:t>
      </w:r>
      <w:r w:rsidRPr="00E001BC">
        <w:rPr>
          <w:i/>
        </w:rPr>
        <w:t>Front Physiol.</w:t>
      </w:r>
      <w:r w:rsidRPr="00E001BC">
        <w:t xml:space="preserve"> 4: 180.</w:t>
      </w:r>
      <w:bookmarkStart w:id="0" w:name="_GoBack"/>
      <w:bookmarkEnd w:id="0"/>
    </w:p>
    <w:sectPr w:rsidR="00FA59DC" w:rsidRPr="00FA59DC" w:rsidSect="00F046B2">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23CA6"/>
    <w:multiLevelType w:val="hybridMultilevel"/>
    <w:tmpl w:val="DE68E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B2"/>
    <w:rsid w:val="004B26CC"/>
    <w:rsid w:val="005A4D58"/>
    <w:rsid w:val="00F046B2"/>
    <w:rsid w:val="00FA59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B7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B2"/>
    <w:rPr>
      <w:rFonts w:ascii="Cambria" w:eastAsia="ＭＳ 明朝"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46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B2"/>
    <w:rPr>
      <w:rFonts w:ascii="Cambria" w:eastAsia="ＭＳ 明朝"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4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ople.oregonstate.edu/~meyere/data.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442</Words>
  <Characters>2520</Characters>
  <Application>Microsoft Macintosh Word</Application>
  <DocSecurity>0</DocSecurity>
  <Lines>21</Lines>
  <Paragraphs>5</Paragraphs>
  <ScaleCrop>false</ScaleCrop>
  <Company>The Australian National University</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FORET</dc:creator>
  <cp:keywords/>
  <dc:description/>
  <cp:lastModifiedBy>Sylvain FORET</cp:lastModifiedBy>
  <cp:revision>2</cp:revision>
  <dcterms:created xsi:type="dcterms:W3CDTF">2016-08-18T02:25:00Z</dcterms:created>
  <dcterms:modified xsi:type="dcterms:W3CDTF">2016-08-18T02:29:00Z</dcterms:modified>
</cp:coreProperties>
</file>