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34FE6" w14:textId="77777777" w:rsidR="001B6507" w:rsidRPr="00CD7F68" w:rsidRDefault="001B6507" w:rsidP="00CD7F68">
      <w:pPr>
        <w:spacing w:line="480" w:lineRule="auto"/>
        <w:rPr>
          <w:rFonts w:ascii="Arial" w:hAnsi="Arial" w:cs="Arial"/>
          <w:b/>
          <w:color w:val="000000" w:themeColor="text1"/>
        </w:rPr>
      </w:pPr>
      <w:r w:rsidRPr="00CD7F68">
        <w:rPr>
          <w:rFonts w:ascii="Arial" w:hAnsi="Arial" w:cs="Arial"/>
          <w:b/>
          <w:color w:val="000000" w:themeColor="text1"/>
        </w:rPr>
        <w:t>Supplementary Information</w:t>
      </w:r>
    </w:p>
    <w:p w14:paraId="429CF8A1" w14:textId="77777777" w:rsidR="001B6507" w:rsidRPr="00CD7F68" w:rsidRDefault="001B6507" w:rsidP="00CD7F68">
      <w:pPr>
        <w:spacing w:line="480" w:lineRule="auto"/>
        <w:rPr>
          <w:rFonts w:ascii="Arial" w:hAnsi="Arial" w:cs="Arial"/>
          <w:color w:val="000000" w:themeColor="text1"/>
        </w:rPr>
      </w:pPr>
    </w:p>
    <w:p w14:paraId="1AFB1CAC" w14:textId="77777777" w:rsidR="000D4D9C" w:rsidRPr="00CD7F68" w:rsidRDefault="00370AA1" w:rsidP="00CD7F68">
      <w:pPr>
        <w:spacing w:line="480" w:lineRule="auto"/>
        <w:rPr>
          <w:rFonts w:ascii="Arial" w:hAnsi="Arial" w:cs="Arial"/>
          <w:color w:val="000000" w:themeColor="text1"/>
        </w:rPr>
      </w:pPr>
      <w:proofErr w:type="gramStart"/>
      <w:r w:rsidRPr="00CD7F68">
        <w:rPr>
          <w:rFonts w:ascii="Arial" w:hAnsi="Arial" w:cs="Arial"/>
          <w:b/>
          <w:color w:val="000000" w:themeColor="text1"/>
        </w:rPr>
        <w:t xml:space="preserve">Supplementary </w:t>
      </w:r>
      <w:r w:rsidR="000D4D9C" w:rsidRPr="00CD7F68">
        <w:rPr>
          <w:rFonts w:ascii="Arial" w:hAnsi="Arial" w:cs="Arial"/>
          <w:b/>
          <w:color w:val="000000" w:themeColor="text1"/>
        </w:rPr>
        <w:t>Methods S1</w:t>
      </w:r>
      <w:r w:rsidRPr="00CD7F68">
        <w:rPr>
          <w:rFonts w:ascii="Arial" w:hAnsi="Arial" w:cs="Arial"/>
          <w:color w:val="000000" w:themeColor="text1"/>
        </w:rPr>
        <w:t>.</w:t>
      </w:r>
      <w:proofErr w:type="gramEnd"/>
      <w:r w:rsidR="000D4D9C" w:rsidRPr="00CD7F68">
        <w:rPr>
          <w:rFonts w:ascii="Arial" w:hAnsi="Arial" w:cs="Arial"/>
          <w:color w:val="000000" w:themeColor="text1"/>
        </w:rPr>
        <w:t xml:space="preserve"> </w:t>
      </w:r>
      <w:r w:rsidR="000967FF" w:rsidRPr="00CD7F68">
        <w:rPr>
          <w:rFonts w:ascii="Arial" w:hAnsi="Arial" w:cs="Arial"/>
          <w:color w:val="000000" w:themeColor="text1"/>
        </w:rPr>
        <w:t>Research trends and degree of collaboration between authors</w:t>
      </w:r>
    </w:p>
    <w:p w14:paraId="2E87A058" w14:textId="77777777"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To assess the trends in the research associated to the conservation genetics and molecular ecology of African savannah elephants (</w:t>
      </w:r>
      <w:proofErr w:type="spellStart"/>
      <w:r w:rsidRPr="00CD7F68">
        <w:rPr>
          <w:rFonts w:ascii="Arial" w:hAnsi="Arial" w:cs="Arial"/>
          <w:i/>
          <w:color w:val="000000" w:themeColor="text1"/>
        </w:rPr>
        <w:t>Loxodonta</w:t>
      </w:r>
      <w:proofErr w:type="spellEnd"/>
      <w:r w:rsidRPr="00CD7F68">
        <w:rPr>
          <w:rFonts w:ascii="Arial" w:hAnsi="Arial" w:cs="Arial"/>
          <w:i/>
          <w:color w:val="000000" w:themeColor="text1"/>
        </w:rPr>
        <w:t xml:space="preserve"> africana</w:t>
      </w:r>
      <w:r w:rsidRPr="00CD7F68">
        <w:rPr>
          <w:rFonts w:ascii="Arial" w:hAnsi="Arial" w:cs="Arial"/>
          <w:color w:val="000000" w:themeColor="text1"/>
        </w:rPr>
        <w:t>), we used a combined approach in which temporal trends were assessed in terms of the number of papers published over a 5 period time lapse and the thematic trend was assessed in terms of the distribution of all publications into thematic lines. Additionally, research outputs were evaluated in terms of the relative growth and doubling time of publications. The relative growth rate of literature (RGR) is defined as the increase in the number of publications per unit of time</w:t>
      </w:r>
      <w:r w:rsidR="00370AA1" w:rsidRPr="00CD7F68">
        <w:rPr>
          <w:rFonts w:ascii="Arial" w:hAnsi="Arial" w:cs="Arial"/>
          <w:color w:val="000000" w:themeColor="text1"/>
        </w:rPr>
        <w:t xml:space="preserve"> </w:t>
      </w:r>
      <w:r w:rsidR="00370AA1" w:rsidRPr="00CD7F68">
        <w:rPr>
          <w:rFonts w:ascii="Arial" w:hAnsi="Arial" w:cs="Arial"/>
          <w:color w:val="000000" w:themeColor="text1"/>
        </w:rPr>
        <w:fldChar w:fldCharType="begin" w:fldLock="1"/>
      </w:r>
      <w:r w:rsidR="00370AA1" w:rsidRPr="00CD7F68">
        <w:rPr>
          <w:rFonts w:ascii="Arial" w:hAnsi="Arial" w:cs="Arial"/>
          <w:color w:val="000000" w:themeColor="text1"/>
        </w:rPr>
        <w:instrText>ADDIN CSL_CITATION { "citationItems" : [ { "id" : "ITEM-1", "itemData" : { "author" : [ { "dropping-particle" : "", "family" : "Mahapatra", "given" : "M.", "non-dropping-particle" : "", "parse-names" : false, "suffix" : "" } ], "container-title" : "The 15th IASLIC Conference Proceedings", "id" : "ITEM-1", "issued" : { "date-parts" : [ [ "1985" ] ] }, "page" : "61-70", "publisher" : "IASLIC", "publisher-place" : "Banglor", "title" : "On the validity of the theory of exponential growth of scientific literature", "type" : "paper-conference" }, "uris" : [ "http://www.mendeley.com/documents/?uuid=33c0a50e-2aee-4fe0-8062-e51c7c7a1d07" ] } ], "mendeley" : { "formattedCitation" : "(Mahapatra, 1985)", "plainTextFormattedCitation" : "(Mahapatra, 1985)", "previouslyFormattedCitation" : "(Mahapatra, 1985)" }, "properties" : { "noteIndex" : 0 }, "schema" : "https://github.com/citation-style-language/schema/raw/master/csl-citation.json" }</w:instrText>
      </w:r>
      <w:r w:rsidR="00370AA1" w:rsidRPr="00CD7F68">
        <w:rPr>
          <w:rFonts w:ascii="Arial" w:hAnsi="Arial" w:cs="Arial"/>
          <w:color w:val="000000" w:themeColor="text1"/>
        </w:rPr>
        <w:fldChar w:fldCharType="separate"/>
      </w:r>
      <w:r w:rsidR="00370AA1" w:rsidRPr="00CD7F68">
        <w:rPr>
          <w:rFonts w:ascii="Arial" w:hAnsi="Arial" w:cs="Arial"/>
          <w:noProof/>
          <w:color w:val="000000" w:themeColor="text1"/>
        </w:rPr>
        <w:t>(Mahapatra, 1985)</w:t>
      </w:r>
      <w:r w:rsidR="00370AA1" w:rsidRPr="00CD7F68">
        <w:rPr>
          <w:rFonts w:ascii="Arial" w:hAnsi="Arial" w:cs="Arial"/>
          <w:color w:val="000000" w:themeColor="text1"/>
        </w:rPr>
        <w:fldChar w:fldCharType="end"/>
      </w:r>
      <w:r w:rsidRPr="00CD7F68">
        <w:rPr>
          <w:rFonts w:ascii="Arial" w:hAnsi="Arial" w:cs="Arial"/>
          <w:color w:val="000000" w:themeColor="text1"/>
        </w:rPr>
        <w:t>, mathematically represented by Equation 1, whilst the relative Doubling Time of Publications (DT) is the time required for the article to become double of the existing amount (</w:t>
      </w:r>
      <w:proofErr w:type="spellStart"/>
      <w:r w:rsidRPr="00CD7F68">
        <w:rPr>
          <w:rFonts w:ascii="Arial" w:hAnsi="Arial" w:cs="Arial"/>
          <w:color w:val="000000" w:themeColor="text1"/>
        </w:rPr>
        <w:t>Sangam</w:t>
      </w:r>
      <w:proofErr w:type="spellEnd"/>
      <w:r w:rsidRPr="00CD7F68">
        <w:rPr>
          <w:rFonts w:ascii="Arial" w:hAnsi="Arial" w:cs="Arial"/>
          <w:color w:val="000000" w:themeColor="text1"/>
        </w:rPr>
        <w:t xml:space="preserve"> &amp; </w:t>
      </w:r>
      <w:proofErr w:type="spellStart"/>
      <w:r w:rsidRPr="00CD7F68">
        <w:rPr>
          <w:rFonts w:ascii="Arial" w:hAnsi="Arial" w:cs="Arial"/>
          <w:color w:val="000000" w:themeColor="text1"/>
        </w:rPr>
        <w:t>Keshava</w:t>
      </w:r>
      <w:proofErr w:type="spellEnd"/>
      <w:r w:rsidRPr="00CD7F68">
        <w:rPr>
          <w:rFonts w:ascii="Arial" w:hAnsi="Arial" w:cs="Arial"/>
          <w:color w:val="000000" w:themeColor="text1"/>
        </w:rPr>
        <w:t xml:space="preserve"> 2003), mathematical calculated by Equation 2.</w:t>
      </w:r>
    </w:p>
    <w:p w14:paraId="241F09BE" w14:textId="77777777" w:rsidR="000D4D9C" w:rsidRPr="00CD7F68" w:rsidRDefault="000D4D9C" w:rsidP="00CD7F68">
      <w:pPr>
        <w:spacing w:line="480" w:lineRule="auto"/>
        <w:rPr>
          <w:rFonts w:ascii="Arial" w:hAnsi="Arial" w:cs="Arial"/>
          <w:color w:val="000000" w:themeColor="text1"/>
        </w:rPr>
      </w:pPr>
    </w:p>
    <w:p w14:paraId="55C57339" w14:textId="77777777" w:rsidR="000D4D9C" w:rsidRPr="00CD7F68" w:rsidRDefault="000D4D9C" w:rsidP="00CD7F68">
      <w:pPr>
        <w:spacing w:line="480" w:lineRule="auto"/>
        <w:rPr>
          <w:rFonts w:ascii="Arial" w:hAnsi="Arial" w:cs="Arial"/>
          <w:color w:val="000000" w:themeColor="text1"/>
        </w:rPr>
      </w:pPr>
      <m:oMath>
        <m:r>
          <w:rPr>
            <w:rFonts w:ascii="Cambria Math" w:hAnsi="Cambria Math" w:cs="Arial"/>
            <w:color w:val="000000" w:themeColor="text1"/>
          </w:rPr>
          <m:t>R</m:t>
        </m:r>
        <m:d>
          <m:dPr>
            <m:ctrlPr>
              <w:rPr>
                <w:rFonts w:ascii="Cambria Math" w:hAnsi="Cambria Math" w:cs="Arial"/>
                <w:i/>
                <w:color w:val="000000" w:themeColor="text1"/>
              </w:rPr>
            </m:ctrlPr>
          </m:dPr>
          <m:e>
            <m:r>
              <w:rPr>
                <w:rFonts w:ascii="Cambria Math" w:hAnsi="Cambria Math" w:cs="Arial"/>
                <w:color w:val="000000" w:themeColor="text1"/>
              </w:rPr>
              <m:t>P</m:t>
            </m:r>
          </m:e>
        </m:d>
        <m:r>
          <w:rPr>
            <w:rFonts w:ascii="Cambria Math" w:hAnsi="Cambria Math" w:cs="Arial"/>
            <w:color w:val="000000" w:themeColor="text1"/>
          </w:rPr>
          <m:t xml:space="preserve">= </m:t>
        </m:r>
        <m:f>
          <m:fPr>
            <m:ctrlPr>
              <w:rPr>
                <w:rFonts w:ascii="Cambria Math" w:hAnsi="Cambria Math" w:cs="Arial"/>
                <w:i/>
                <w:color w:val="000000" w:themeColor="text1"/>
              </w:rPr>
            </m:ctrlPr>
          </m:fPr>
          <m:num>
            <m:sSub>
              <m:sSubPr>
                <m:ctrlPr>
                  <w:rPr>
                    <w:rFonts w:ascii="Cambria Math" w:hAnsi="Cambria Math" w:cs="Arial"/>
                    <w:i/>
                    <w:color w:val="000000" w:themeColor="text1"/>
                  </w:rPr>
                </m:ctrlPr>
              </m:sSubPr>
              <m:e>
                <m:r>
                  <w:rPr>
                    <w:rFonts w:ascii="Cambria Math" w:hAnsi="Cambria Math" w:cs="Arial"/>
                    <w:color w:val="000000" w:themeColor="text1"/>
                  </w:rPr>
                  <m:t>Log</m:t>
                </m:r>
              </m:e>
              <m:sub>
                <m:r>
                  <w:rPr>
                    <w:rFonts w:ascii="Cambria Math" w:hAnsi="Cambria Math" w:cs="Arial"/>
                    <w:color w:val="000000" w:themeColor="text1"/>
                  </w:rPr>
                  <m:t>e</m:t>
                </m:r>
              </m:sub>
            </m:sSub>
            <m:r>
              <w:rPr>
                <w:rFonts w:ascii="Cambria Math" w:hAnsi="Cambria Math" w:cs="Arial"/>
                <w:color w:val="000000" w:themeColor="text1"/>
              </w:rPr>
              <m:t xml:space="preserve">2P- </m:t>
            </m:r>
            <m:sSub>
              <m:sSubPr>
                <m:ctrlPr>
                  <w:rPr>
                    <w:rFonts w:ascii="Cambria Math" w:hAnsi="Cambria Math" w:cs="Arial"/>
                    <w:i/>
                    <w:color w:val="000000" w:themeColor="text1"/>
                  </w:rPr>
                </m:ctrlPr>
              </m:sSubPr>
              <m:e>
                <m:r>
                  <w:rPr>
                    <w:rFonts w:ascii="Cambria Math" w:hAnsi="Cambria Math" w:cs="Arial"/>
                    <w:color w:val="000000" w:themeColor="text1"/>
                  </w:rPr>
                  <m:t>Log</m:t>
                </m:r>
              </m:e>
              <m:sub>
                <m:r>
                  <w:rPr>
                    <w:rFonts w:ascii="Cambria Math" w:hAnsi="Cambria Math" w:cs="Arial"/>
                    <w:color w:val="000000" w:themeColor="text1"/>
                  </w:rPr>
                  <m:t>e</m:t>
                </m:r>
              </m:sub>
            </m:sSub>
            <m:r>
              <w:rPr>
                <w:rFonts w:ascii="Cambria Math" w:hAnsi="Cambria Math" w:cs="Arial"/>
                <w:color w:val="000000" w:themeColor="text1"/>
              </w:rPr>
              <m:t>1P</m:t>
            </m:r>
          </m:num>
          <m:den>
            <m:sSup>
              <m:sSupPr>
                <m:ctrlPr>
                  <w:rPr>
                    <w:rFonts w:ascii="Cambria Math" w:hAnsi="Cambria Math" w:cs="Arial"/>
                    <w:i/>
                    <w:color w:val="000000" w:themeColor="text1"/>
                  </w:rPr>
                </m:ctrlPr>
              </m:sSupPr>
              <m:e>
                <m:r>
                  <w:rPr>
                    <w:rFonts w:ascii="Cambria Math" w:hAnsi="Cambria Math" w:cs="Arial"/>
                    <w:color w:val="000000" w:themeColor="text1"/>
                  </w:rPr>
                  <m:t>2</m:t>
                </m:r>
              </m:e>
              <m:sup>
                <m:r>
                  <w:rPr>
                    <w:rFonts w:ascii="Cambria Math" w:hAnsi="Cambria Math" w:cs="Arial"/>
                    <w:color w:val="000000" w:themeColor="text1"/>
                  </w:rPr>
                  <m:t>T</m:t>
                </m:r>
              </m:sup>
            </m:sSup>
            <m:r>
              <w:rPr>
                <w:rFonts w:ascii="Cambria Math" w:hAnsi="Cambria Math" w:cs="Arial"/>
                <w:color w:val="000000" w:themeColor="text1"/>
              </w:rPr>
              <m:t xml:space="preserve">- </m:t>
            </m:r>
            <m:sSup>
              <m:sSupPr>
                <m:ctrlPr>
                  <w:rPr>
                    <w:rFonts w:ascii="Cambria Math" w:hAnsi="Cambria Math" w:cs="Arial"/>
                    <w:i/>
                    <w:color w:val="000000" w:themeColor="text1"/>
                  </w:rPr>
                </m:ctrlPr>
              </m:sSupPr>
              <m:e>
                <m:r>
                  <w:rPr>
                    <w:rFonts w:ascii="Cambria Math" w:hAnsi="Cambria Math" w:cs="Arial"/>
                    <w:color w:val="000000" w:themeColor="text1"/>
                  </w:rPr>
                  <m:t>1</m:t>
                </m:r>
              </m:e>
              <m:sup>
                <m:r>
                  <w:rPr>
                    <w:rFonts w:ascii="Cambria Math" w:hAnsi="Cambria Math" w:cs="Arial"/>
                    <w:color w:val="000000" w:themeColor="text1"/>
                  </w:rPr>
                  <m:t>T</m:t>
                </m:r>
              </m:sup>
            </m:sSup>
          </m:den>
        </m:f>
      </m:oMath>
      <w:r w:rsidRPr="00CD7F68">
        <w:rPr>
          <w:rFonts w:ascii="Arial" w:hAnsi="Arial" w:cs="Arial"/>
          <w:color w:val="000000" w:themeColor="text1"/>
        </w:rPr>
        <w:t xml:space="preserve">                          (1)</w:t>
      </w:r>
    </w:p>
    <w:p w14:paraId="12E22A33" w14:textId="77777777" w:rsidR="00355CDB" w:rsidRPr="00CD7F68" w:rsidRDefault="00355CDB" w:rsidP="00CD7F68">
      <w:pPr>
        <w:spacing w:line="480" w:lineRule="auto"/>
        <w:rPr>
          <w:rFonts w:ascii="Arial" w:hAnsi="Arial" w:cs="Arial"/>
          <w:color w:val="000000" w:themeColor="text1"/>
        </w:rPr>
      </w:pPr>
    </w:p>
    <w:p w14:paraId="0979ADDD" w14:textId="77777777"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Where:</w:t>
      </w:r>
    </w:p>
    <w:p w14:paraId="1C0FA7C4" w14:textId="77777777" w:rsidR="000D4D9C" w:rsidRPr="00CD7F68" w:rsidRDefault="000D4D9C" w:rsidP="00CD7F68">
      <w:pPr>
        <w:spacing w:line="480" w:lineRule="auto"/>
        <w:rPr>
          <w:rFonts w:ascii="Arial" w:hAnsi="Arial" w:cs="Arial"/>
          <w:color w:val="000000" w:themeColor="text1"/>
        </w:rPr>
      </w:pPr>
      <w:proofErr w:type="gramStart"/>
      <w:r w:rsidRPr="00CD7F68">
        <w:rPr>
          <w:rFonts w:ascii="Arial" w:hAnsi="Arial" w:cs="Arial"/>
          <w:color w:val="000000" w:themeColor="text1"/>
        </w:rPr>
        <w:t>R(</w:t>
      </w:r>
      <w:proofErr w:type="gramEnd"/>
      <w:r w:rsidRPr="00CD7F68">
        <w:rPr>
          <w:rFonts w:ascii="Arial" w:hAnsi="Arial" w:cs="Arial"/>
          <w:color w:val="000000" w:themeColor="text1"/>
        </w:rPr>
        <w:t>P) = relative growth rate of publications over a specific period of time</w:t>
      </w:r>
    </w:p>
    <w:p w14:paraId="1FA3D1B0" w14:textId="77777777"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Log</w:t>
      </w:r>
      <w:r w:rsidRPr="00CD7F68">
        <w:rPr>
          <w:rFonts w:ascii="Arial" w:hAnsi="Arial" w:cs="Arial"/>
          <w:color w:val="000000" w:themeColor="text1"/>
          <w:vertAlign w:val="subscript"/>
        </w:rPr>
        <w:t>e</w:t>
      </w:r>
      <w:r w:rsidRPr="00CD7F68">
        <w:rPr>
          <w:rFonts w:ascii="Arial" w:hAnsi="Arial" w:cs="Arial"/>
          <w:color w:val="000000" w:themeColor="text1"/>
        </w:rPr>
        <w:t>1P = Log of initial number of articles</w:t>
      </w:r>
    </w:p>
    <w:p w14:paraId="6AB00B5A" w14:textId="77777777"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Loge2P = Log of final number of articles</w:t>
      </w:r>
    </w:p>
    <w:p w14:paraId="7EB0614B" w14:textId="77777777"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2</w:t>
      </w:r>
      <w:r w:rsidRPr="00CD7F68">
        <w:rPr>
          <w:rFonts w:ascii="Arial" w:hAnsi="Arial" w:cs="Arial"/>
          <w:color w:val="000000" w:themeColor="text1"/>
          <w:vertAlign w:val="superscript"/>
        </w:rPr>
        <w:t>T</w:t>
      </w:r>
      <w:r w:rsidRPr="00CD7F68">
        <w:rPr>
          <w:rFonts w:ascii="Arial" w:hAnsi="Arial" w:cs="Arial"/>
          <w:color w:val="000000" w:themeColor="text1"/>
        </w:rPr>
        <w:t xml:space="preserve"> – 1</w:t>
      </w:r>
      <w:r w:rsidRPr="00CD7F68">
        <w:rPr>
          <w:rFonts w:ascii="Arial" w:hAnsi="Arial" w:cs="Arial"/>
          <w:color w:val="000000" w:themeColor="text1"/>
          <w:vertAlign w:val="superscript"/>
        </w:rPr>
        <w:t>T</w:t>
      </w:r>
      <w:r w:rsidRPr="00CD7F68">
        <w:rPr>
          <w:rFonts w:ascii="Arial" w:hAnsi="Arial" w:cs="Arial"/>
          <w:color w:val="000000" w:themeColor="text1"/>
        </w:rPr>
        <w:t xml:space="preserve"> = </w:t>
      </w:r>
      <w:proofErr w:type="gramStart"/>
      <w:r w:rsidRPr="00CD7F68">
        <w:rPr>
          <w:rFonts w:ascii="Arial" w:hAnsi="Arial" w:cs="Arial"/>
          <w:color w:val="000000" w:themeColor="text1"/>
        </w:rPr>
        <w:t>The</w:t>
      </w:r>
      <w:proofErr w:type="gramEnd"/>
      <w:r w:rsidRPr="00CD7F68">
        <w:rPr>
          <w:rFonts w:ascii="Arial" w:hAnsi="Arial" w:cs="Arial"/>
          <w:color w:val="000000" w:themeColor="text1"/>
        </w:rPr>
        <w:t xml:space="preserve"> unit difference between the initial time and final times</w:t>
      </w:r>
    </w:p>
    <w:p w14:paraId="4F918623" w14:textId="77777777" w:rsidR="000D4D9C" w:rsidRPr="00CD7F68" w:rsidRDefault="000D4D9C" w:rsidP="00CD7F68">
      <w:pPr>
        <w:spacing w:line="480" w:lineRule="auto"/>
        <w:rPr>
          <w:rFonts w:ascii="Arial" w:hAnsi="Arial" w:cs="Arial"/>
          <w:color w:val="000000" w:themeColor="text1"/>
        </w:rPr>
      </w:pPr>
    </w:p>
    <w:p w14:paraId="1CD3CB5A" w14:textId="77777777" w:rsidR="000D4D9C" w:rsidRPr="00CD7F68" w:rsidRDefault="000D4D9C" w:rsidP="00CD7F68">
      <w:pPr>
        <w:spacing w:line="480" w:lineRule="auto"/>
        <w:rPr>
          <w:rFonts w:ascii="Arial" w:hAnsi="Arial" w:cs="Arial"/>
          <w:color w:val="000000" w:themeColor="text1"/>
        </w:rPr>
      </w:pPr>
      <m:oMath>
        <m:r>
          <w:rPr>
            <w:rFonts w:ascii="Cambria Math" w:hAnsi="Cambria Math" w:cs="Arial"/>
            <w:color w:val="000000" w:themeColor="text1"/>
          </w:rPr>
          <w:lastRenderedPageBreak/>
          <m:t xml:space="preserve">DT= </m:t>
        </m:r>
        <m:f>
          <m:fPr>
            <m:ctrlPr>
              <w:rPr>
                <w:rFonts w:ascii="Cambria Math" w:hAnsi="Cambria Math" w:cs="Arial"/>
                <w:i/>
                <w:color w:val="000000" w:themeColor="text1"/>
              </w:rPr>
            </m:ctrlPr>
          </m:fPr>
          <m:num>
            <m:sSub>
              <m:sSubPr>
                <m:ctrlPr>
                  <w:rPr>
                    <w:rFonts w:ascii="Cambria Math" w:hAnsi="Cambria Math" w:cs="Arial"/>
                    <w:i/>
                    <w:color w:val="000000" w:themeColor="text1"/>
                  </w:rPr>
                </m:ctrlPr>
              </m:sSubPr>
              <m:e>
                <m:r>
                  <w:rPr>
                    <w:rFonts w:ascii="Cambria Math" w:hAnsi="Cambria Math" w:cs="Arial"/>
                    <w:color w:val="000000" w:themeColor="text1"/>
                  </w:rPr>
                  <m:t>Log</m:t>
                </m:r>
              </m:e>
              <m:sub>
                <m:r>
                  <w:rPr>
                    <w:rFonts w:ascii="Cambria Math" w:hAnsi="Cambria Math" w:cs="Arial"/>
                    <w:color w:val="000000" w:themeColor="text1"/>
                  </w:rPr>
                  <m:t>e</m:t>
                </m:r>
              </m:sub>
            </m:sSub>
            <m:r>
              <w:rPr>
                <w:rFonts w:ascii="Cambria Math" w:hAnsi="Cambria Math" w:cs="Arial"/>
                <w:color w:val="000000" w:themeColor="text1"/>
              </w:rPr>
              <m:t>2</m:t>
            </m:r>
          </m:num>
          <m:den>
            <m:r>
              <w:rPr>
                <w:rFonts w:ascii="Cambria Math" w:hAnsi="Cambria Math" w:cs="Arial"/>
                <w:color w:val="000000" w:themeColor="text1"/>
              </w:rPr>
              <m:t>R(P)</m:t>
            </m:r>
          </m:den>
        </m:f>
        <m:r>
          <w:rPr>
            <w:rFonts w:ascii="Cambria Math" w:hAnsi="Cambria Math" w:cs="Arial"/>
            <w:color w:val="000000" w:themeColor="text1"/>
          </w:rPr>
          <m:t>=</m:t>
        </m:r>
        <m:f>
          <m:fPr>
            <m:ctrlPr>
              <w:rPr>
                <w:rFonts w:ascii="Cambria Math" w:hAnsi="Cambria Math" w:cs="Arial"/>
                <w:i/>
                <w:color w:val="000000" w:themeColor="text1"/>
              </w:rPr>
            </m:ctrlPr>
          </m:fPr>
          <m:num>
            <m:r>
              <w:rPr>
                <w:rFonts w:ascii="Cambria Math" w:hAnsi="Cambria Math" w:cs="Arial"/>
                <w:color w:val="000000" w:themeColor="text1"/>
              </w:rPr>
              <m:t>0.693</m:t>
            </m:r>
          </m:num>
          <m:den>
            <m:r>
              <w:rPr>
                <w:rFonts w:ascii="Cambria Math" w:hAnsi="Cambria Math" w:cs="Arial"/>
                <w:color w:val="000000" w:themeColor="text1"/>
              </w:rPr>
              <m:t>R(P)</m:t>
            </m:r>
          </m:den>
        </m:f>
      </m:oMath>
      <w:r w:rsidRPr="00CD7F68">
        <w:rPr>
          <w:rFonts w:ascii="Arial" w:hAnsi="Arial" w:cs="Arial"/>
          <w:color w:val="000000" w:themeColor="text1"/>
        </w:rPr>
        <w:t xml:space="preserve">                              (2)</w:t>
      </w:r>
    </w:p>
    <w:p w14:paraId="042CFEFC" w14:textId="77777777"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Where, DT is the doubling time and other variables are consistent with Equation 1.</w:t>
      </w:r>
    </w:p>
    <w:p w14:paraId="4D3EC15E" w14:textId="01C3770C" w:rsidR="000D4D9C" w:rsidRPr="00CD7F68" w:rsidRDefault="00355CDB" w:rsidP="00CD7F68">
      <w:pPr>
        <w:spacing w:line="480" w:lineRule="auto"/>
        <w:rPr>
          <w:rFonts w:ascii="Arial" w:hAnsi="Arial" w:cs="Arial"/>
          <w:color w:val="000000" w:themeColor="text1"/>
        </w:rPr>
      </w:pPr>
      <w:r w:rsidRPr="00CD7F68">
        <w:rPr>
          <w:rFonts w:ascii="Arial" w:hAnsi="Arial" w:cs="Arial"/>
          <w:color w:val="000000" w:themeColor="text1"/>
        </w:rPr>
        <w:t>T</w:t>
      </w:r>
      <w:r w:rsidR="000D4D9C" w:rsidRPr="00CD7F68">
        <w:rPr>
          <w:rFonts w:ascii="Arial" w:hAnsi="Arial" w:cs="Arial"/>
          <w:color w:val="000000" w:themeColor="text1"/>
        </w:rPr>
        <w:t xml:space="preserve">he degree of collaboration was assessed in terms of the collaborative index (CI), degree of collaboration (DC) and the collaborative coefficient (CC), the same approach followed by </w:t>
      </w:r>
      <w:r w:rsidR="00370AA1" w:rsidRPr="00CD7F68">
        <w:rPr>
          <w:rFonts w:ascii="Arial" w:hAnsi="Arial" w:cs="Arial"/>
          <w:color w:val="000000" w:themeColor="text1"/>
        </w:rPr>
        <w:fldChar w:fldCharType="begin" w:fldLock="1"/>
      </w:r>
      <w:r w:rsidR="00467066" w:rsidRPr="00CD7F68">
        <w:rPr>
          <w:rFonts w:ascii="Arial" w:hAnsi="Arial" w:cs="Arial"/>
          <w:color w:val="000000" w:themeColor="text1"/>
        </w:rPr>
        <w:instrText>ADDIN CSL_CITATION { "citationItems" : [ { "id" : "ITEM-1", "itemData" : { "DOI" : "10.7553/80-1-181", "abstract" : "The journal Ecology is one of the premier journals in the field of ecology, published by the Ecological Society of America. Ten volumes of the journal containing 120 issues from 2003 to 2012 have been taken into consideration for the present study that carries out a bibliometric analysis of the 3,359 papers and 164,369 references of this journal. The analysis covers parameters like growth pattern, authorship pattern and author productivity, with most productive countries and institutions. Out of 3,359 contributions, only 410 were single-authored and the rest were multi-authored with a Collaboration Coefficient of 0.21. Applicability of Lotka's Law has been tested. The most productive institution was the University of California at Davis, with 183 publications. The United States of America topped the list of countries with 2,188 papers, while South Africa occupied eighteenth position.", "author" : [ { "dropping-particle" : "", "family" : "Govindaradjou", "given" : "Saravanan", "non-dropping-particle" : "", "parse-names" : false, "suffix" : "" }, { "dropping-particle" : "", "family" : "John", "given" : "Dominic", "non-dropping-particle" : "", "parse-names" : false, "suffix" : "" } ], "container-title" : "SA Jnl Libs &amp; Info Sci", "id" : "ITEM-1", "issue" : "2011", "issued" : { "date-parts" : [ [ "2014" ] ] }, "page" : "27-40", "title" : "Quantitative analysis of research trends in a leading ecological journal : bibliometric study during 2003-2012", "type" : "article-journal", "volume" : "80" }, "uris" : [ "http://www.mendeley.com/documents/?uuid=be1a418b-ba7b-4864-b6e1-f6c9b74fa30e" ] }, { "id" : "ITEM-2", "itemData" : { "DOI" : "10.1633/JISTaP.2014.2.3.4", "ISSN" : "2287-9099", "abstract" : "This paper attempts to highlight quantitatively the growth and development of literature in the field of ecology in terms of publication output using the resource Web of Science\u00ae. The focus of this analysis was to study the litera- ture on ecology published in three journals, viz., Ecology Letters, Trends in Ecology &amp; Evolution, and Annual Review of Ecology Evolution and Systematics. 2946 records were retrieved for 10 years (2003\u20132012). The study revealed that multiple authorship in the field with collaborations of two (30.31%) and three authors (19.89%) was dominant. The Degree of collaboration, Collaborative coefficient, and Collaborative index were calculated and the applicability of Lotka\u2019s law was tested. The study identified five-year patterns in research trends, using the three studied journals, to see if the subjects of focus changed within a decade. The most productive institution was University Calif. Davis, USA, followed by University Calif. Santa Barbara, USA, and University Queensland, Australia, and the most produc- tive countries were the USA followed by UK and Canada.", "author" : [ { "dropping-particle" : "", "family" : "Saravanan", "given" : "G.", "non-dropping-particle" : "", "parse-names" : false, "suffix" : "" }, { "dropping-particle" : "", "family" : "Dominic", "given" : "J.", "non-dropping-particle" : "", "parse-names" : false, "suffix" : "" } ], "container-title" : "Journal of Information Science Theory and Practice", "id" : "ITEM-2", "issue" : "3", "issued" : { "date-parts" : [ [ "2014" ] ] }, "page" : "40-54", "title" : "A Ten-year Bibliometric Analysis of Research Trends in Three Leading Ecology Journals during 2003-2012", "type" : "article-journal", "volume" : "2" }, "uris" : [ "http://www.mendeley.com/documents/?uuid=4c70d00b-2440-4da2-885a-ad1d5a37dbcd" ] } ], "mendeley" : { "formattedCitation" : "(Govindaradjou &amp; John, 2014; Saravanan &amp; Dominic, 2014)", "plainTextFormattedCitation" : "(Govindaradjou &amp; John, 2014; Saravanan &amp; Dominic, 2014)", "previouslyFormattedCitation" : "(Govindaradjou &amp; John, 2014; Saravanan &amp; Dominic, 2014)" }, "properties" : { "noteIndex" : 0 }, "schema" : "https://github.com/citation-style-language/schema/raw/master/csl-citation.json" }</w:instrText>
      </w:r>
      <w:r w:rsidR="00370AA1" w:rsidRPr="00CD7F68">
        <w:rPr>
          <w:rFonts w:ascii="Arial" w:hAnsi="Arial" w:cs="Arial"/>
          <w:color w:val="000000" w:themeColor="text1"/>
        </w:rPr>
        <w:fldChar w:fldCharType="separate"/>
      </w:r>
      <w:r w:rsidR="00370AA1" w:rsidRPr="00CD7F68">
        <w:rPr>
          <w:rFonts w:ascii="Arial" w:hAnsi="Arial" w:cs="Arial"/>
          <w:noProof/>
          <w:color w:val="000000" w:themeColor="text1"/>
        </w:rPr>
        <w:t>(Govindaradjou &amp; John, 2014; Saravanan &amp; Dominic, 2014)</w:t>
      </w:r>
      <w:r w:rsidR="00370AA1" w:rsidRPr="00CD7F68">
        <w:rPr>
          <w:rFonts w:ascii="Arial" w:hAnsi="Arial" w:cs="Arial"/>
          <w:color w:val="000000" w:themeColor="text1"/>
        </w:rPr>
        <w:fldChar w:fldCharType="end"/>
      </w:r>
      <w:r w:rsidR="000D4D9C" w:rsidRPr="00CD7F68">
        <w:rPr>
          <w:rFonts w:ascii="Arial" w:hAnsi="Arial" w:cs="Arial"/>
          <w:color w:val="000000" w:themeColor="text1"/>
        </w:rPr>
        <w:t>.</w:t>
      </w:r>
      <w:r w:rsidR="00467066" w:rsidRPr="00CD7F68">
        <w:rPr>
          <w:rFonts w:ascii="Arial" w:hAnsi="Arial" w:cs="Arial"/>
          <w:color w:val="000000" w:themeColor="text1"/>
        </w:rPr>
        <w:t xml:space="preserve"> T</w:t>
      </w:r>
      <w:r w:rsidR="000D4D9C" w:rsidRPr="00CD7F68">
        <w:rPr>
          <w:rFonts w:ascii="Arial" w:hAnsi="Arial" w:cs="Arial"/>
          <w:color w:val="000000" w:themeColor="text1"/>
        </w:rPr>
        <w:t>he CI is the number of paper</w:t>
      </w:r>
      <w:r w:rsidR="00370AA1" w:rsidRPr="00CD7F68">
        <w:rPr>
          <w:rFonts w:ascii="Arial" w:hAnsi="Arial" w:cs="Arial"/>
          <w:color w:val="000000" w:themeColor="text1"/>
        </w:rPr>
        <w:t>s</w:t>
      </w:r>
      <w:r w:rsidR="000D4D9C" w:rsidRPr="00CD7F68">
        <w:rPr>
          <w:rFonts w:ascii="Arial" w:hAnsi="Arial" w:cs="Arial"/>
          <w:color w:val="000000" w:themeColor="text1"/>
        </w:rPr>
        <w:t xml:space="preserve"> and is considered a measure of mean number of authors</w:t>
      </w:r>
      <w:r w:rsidR="00467066" w:rsidRPr="00CD7F68">
        <w:rPr>
          <w:rFonts w:ascii="Arial" w:hAnsi="Arial" w:cs="Arial"/>
          <w:color w:val="000000" w:themeColor="text1"/>
        </w:rPr>
        <w:t xml:space="preserve"> </w:t>
      </w:r>
      <w:r w:rsidR="00467066" w:rsidRPr="00CD7F68">
        <w:rPr>
          <w:rFonts w:ascii="Arial" w:hAnsi="Arial" w:cs="Arial"/>
          <w:color w:val="000000" w:themeColor="text1"/>
        </w:rPr>
        <w:fldChar w:fldCharType="begin" w:fldLock="1"/>
      </w:r>
      <w:r w:rsidR="00CD7F68" w:rsidRPr="00CD7F68">
        <w:rPr>
          <w:rFonts w:ascii="Arial" w:hAnsi="Arial" w:cs="Arial"/>
          <w:color w:val="000000" w:themeColor="text1"/>
        </w:rPr>
        <w:instrText>ADDIN CSL_CITATION { "citationItems" : [ { "id" : "ITEM-1", "itemData" : { "author" : [ { "dropping-particle" : "", "family" : "Lawani", "given" : "S.M.", "non-dropping-particle" : "", "parse-names" : false, "suffix" : "" } ], "id" : "ITEM-1", "issued" : { "date-parts" : [ [ "1980" ] ] }, "number-of-pages" : "412", "publisher" : "Florida State University", "title" : "Quality, collaboration and citation in cancer research: a bibliometric study", "type" : "thesis" }, "uris" : [ "http://www.mendeley.com/documents/?uuid=0707ada7-a084-4f5f-bdb9-3143a95230ff" ] } ], "mendeley" : { "formattedCitation" : "(Lawani, 1980)", "plainTextFormattedCitation" : "(Lawani, 1980)", "previouslyFormattedCitation" : "(Lawani, 1980)" }, "properties" : { "noteIndex" : 0 }, "schema" : "https://github.com/citation-style-language/schema/raw/master/csl-citation.json" }</w:instrText>
      </w:r>
      <w:r w:rsidR="00467066" w:rsidRPr="00CD7F68">
        <w:rPr>
          <w:rFonts w:ascii="Arial" w:hAnsi="Arial" w:cs="Arial"/>
          <w:color w:val="000000" w:themeColor="text1"/>
        </w:rPr>
        <w:fldChar w:fldCharType="separate"/>
      </w:r>
      <w:r w:rsidR="00467066" w:rsidRPr="00CD7F68">
        <w:rPr>
          <w:rFonts w:ascii="Arial" w:hAnsi="Arial" w:cs="Arial"/>
          <w:noProof/>
          <w:color w:val="000000" w:themeColor="text1"/>
        </w:rPr>
        <w:t>(Lawani, 1980)</w:t>
      </w:r>
      <w:r w:rsidR="00467066" w:rsidRPr="00CD7F68">
        <w:rPr>
          <w:rFonts w:ascii="Arial" w:hAnsi="Arial" w:cs="Arial"/>
          <w:color w:val="000000" w:themeColor="text1"/>
        </w:rPr>
        <w:fldChar w:fldCharType="end"/>
      </w:r>
      <w:r w:rsidR="000D4D9C" w:rsidRPr="00CD7F68">
        <w:rPr>
          <w:rFonts w:ascii="Arial" w:hAnsi="Arial" w:cs="Arial"/>
          <w:color w:val="000000" w:themeColor="text1"/>
        </w:rPr>
        <w:t xml:space="preserve"> and is calculated using Equation 3, where </w:t>
      </w:r>
      <w:proofErr w:type="spellStart"/>
      <w:r w:rsidR="000D4D9C" w:rsidRPr="00CD7F68">
        <w:rPr>
          <w:rFonts w:ascii="Arial" w:hAnsi="Arial" w:cs="Arial"/>
          <w:color w:val="000000" w:themeColor="text1"/>
        </w:rPr>
        <w:t>Fj</w:t>
      </w:r>
      <w:proofErr w:type="spellEnd"/>
      <w:r w:rsidR="000D4D9C" w:rsidRPr="00CD7F68">
        <w:rPr>
          <w:rFonts w:ascii="Arial" w:hAnsi="Arial" w:cs="Arial"/>
          <w:color w:val="000000" w:themeColor="text1"/>
        </w:rPr>
        <w:t xml:space="preserve"> = number of papers having j authors, N = total number of papers and A = total number of authors.</w:t>
      </w:r>
    </w:p>
    <w:p w14:paraId="7B8D1959" w14:textId="77777777" w:rsidR="00355CDB" w:rsidRPr="00CD7F68" w:rsidRDefault="00355CDB" w:rsidP="00CD7F68">
      <w:pPr>
        <w:spacing w:line="480" w:lineRule="auto"/>
        <w:rPr>
          <w:rFonts w:ascii="Arial" w:hAnsi="Arial" w:cs="Arial"/>
          <w:color w:val="000000" w:themeColor="text1"/>
        </w:rPr>
      </w:pPr>
    </w:p>
    <w:p w14:paraId="6F12623E" w14:textId="77777777" w:rsidR="000D4D9C" w:rsidRPr="00CD7F68" w:rsidRDefault="000D4D9C" w:rsidP="00CD7F68">
      <w:pPr>
        <w:spacing w:line="480" w:lineRule="auto"/>
        <w:rPr>
          <w:rFonts w:ascii="Arial" w:hAnsi="Arial" w:cs="Arial"/>
          <w:color w:val="000000" w:themeColor="text1"/>
        </w:rPr>
      </w:pPr>
      <m:oMath>
        <m:r>
          <w:rPr>
            <w:rFonts w:ascii="Cambria Math" w:hAnsi="Cambria Math" w:cs="Arial"/>
            <w:color w:val="000000" w:themeColor="text1"/>
          </w:rPr>
          <m:t xml:space="preserve">CI= </m:t>
        </m:r>
        <m:f>
          <m:fPr>
            <m:ctrlPr>
              <w:rPr>
                <w:rFonts w:ascii="Cambria Math" w:hAnsi="Cambria Math" w:cs="Arial"/>
                <w:i/>
                <w:color w:val="000000" w:themeColor="text1"/>
              </w:rPr>
            </m:ctrlPr>
          </m:fPr>
          <m:num>
            <m:nary>
              <m:naryPr>
                <m:chr m:val="∑"/>
                <m:limLoc m:val="undOvr"/>
                <m:ctrlPr>
                  <w:rPr>
                    <w:rFonts w:ascii="Cambria Math" w:hAnsi="Cambria Math" w:cs="Arial"/>
                    <w:i/>
                    <w:color w:val="000000" w:themeColor="text1"/>
                  </w:rPr>
                </m:ctrlPr>
              </m:naryPr>
              <m:sub>
                <m:r>
                  <w:rPr>
                    <w:rFonts w:ascii="Cambria Math" w:hAnsi="Cambria Math" w:cs="Arial"/>
                    <w:color w:val="000000" w:themeColor="text1"/>
                  </w:rPr>
                  <m:t>j=1</m:t>
                </m:r>
              </m:sub>
              <m:sup>
                <m:r>
                  <w:rPr>
                    <w:rFonts w:ascii="Cambria Math" w:hAnsi="Cambria Math" w:cs="Arial"/>
                    <w:color w:val="000000" w:themeColor="text1"/>
                  </w:rPr>
                  <m:t>A</m:t>
                </m:r>
              </m:sup>
              <m:e>
                <m:r>
                  <w:rPr>
                    <w:rFonts w:ascii="Cambria Math" w:hAnsi="Cambria Math" w:cs="Arial"/>
                    <w:color w:val="000000" w:themeColor="text1"/>
                  </w:rPr>
                  <m:t>jfj</m:t>
                </m:r>
              </m:e>
            </m:nary>
          </m:num>
          <m:den>
            <m:r>
              <w:rPr>
                <w:rFonts w:ascii="Cambria Math" w:hAnsi="Cambria Math" w:cs="Arial"/>
                <w:color w:val="000000" w:themeColor="text1"/>
              </w:rPr>
              <m:t>N</m:t>
            </m:r>
          </m:den>
        </m:f>
      </m:oMath>
      <w:r w:rsidRPr="00CD7F68">
        <w:rPr>
          <w:rFonts w:ascii="Arial" w:hAnsi="Arial" w:cs="Arial"/>
          <w:color w:val="000000" w:themeColor="text1"/>
        </w:rPr>
        <w:t xml:space="preserve">                                         (3)</w:t>
      </w:r>
    </w:p>
    <w:p w14:paraId="2F4FC88E" w14:textId="77777777" w:rsidR="00355CDB" w:rsidRPr="00CD7F68" w:rsidRDefault="00355CDB" w:rsidP="00CD7F68">
      <w:pPr>
        <w:spacing w:line="480" w:lineRule="auto"/>
        <w:rPr>
          <w:rFonts w:ascii="Arial" w:hAnsi="Arial" w:cs="Arial"/>
          <w:color w:val="000000" w:themeColor="text1"/>
        </w:rPr>
      </w:pPr>
    </w:p>
    <w:p w14:paraId="22CDB5F2" w14:textId="77777777"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The DC is the measure of the proportion of multiple authored papers and was calculated by applying Equation 4, where N</w:t>
      </w:r>
      <w:r w:rsidRPr="00CD7F68">
        <w:rPr>
          <w:rFonts w:ascii="Arial" w:hAnsi="Arial" w:cs="Arial"/>
          <w:i/>
          <w:color w:val="000000" w:themeColor="text1"/>
          <w:vertAlign w:val="subscript"/>
        </w:rPr>
        <w:t>m</w:t>
      </w:r>
      <w:r w:rsidRPr="00CD7F68">
        <w:rPr>
          <w:rFonts w:ascii="Arial" w:hAnsi="Arial" w:cs="Arial"/>
          <w:color w:val="000000" w:themeColor="text1"/>
        </w:rPr>
        <w:t xml:space="preserve"> is the number of multi-authored publications and Ns is the number of single authored publications </w:t>
      </w:r>
      <w:r w:rsidRPr="00CD7F68">
        <w:rPr>
          <w:rFonts w:ascii="Arial" w:hAnsi="Arial" w:cs="Arial"/>
          <w:color w:val="000000" w:themeColor="text1"/>
        </w:rPr>
        <w:fldChar w:fldCharType="begin" w:fldLock="1"/>
      </w:r>
      <w:r w:rsidR="00370AA1" w:rsidRPr="00CD7F68">
        <w:rPr>
          <w:rFonts w:ascii="Arial" w:hAnsi="Arial" w:cs="Arial"/>
          <w:color w:val="000000" w:themeColor="text1"/>
        </w:rPr>
        <w:instrText>ADDIN CSL_CITATION { "citationItems" : [ { "id" : "ITEM-1", "itemData" : { "DOI" : "10.1633/JISTaP.2014.2.3.4", "ISSN" : "2287-9099", "abstract" : "This paper attempts to highlight quantitatively the growth and development of literature in the field of ecology in terms of publication output using the resource Web of Science\u00ae. The focus of this analysis was to study the litera- ture on ecology published in three journals, viz., Ecology Letters, Trends in Ecology &amp; Evolution, and Annual Review of Ecology Evolution and Systematics. 2946 records were retrieved for 10 years (2003\u20132012). The study revealed that multiple authorship in the field with collaborations of two (30.31%) and three authors (19.89%) was dominant. The Degree of collaboration, Collaborative coefficient, and Collaborative index were calculated and the applicability of Lotka\u2019s law was tested. The study identified five-year patterns in research trends, using the three studied journals, to see if the subjects of focus changed within a decade. The most productive institution was University Calif. Davis, USA, followed by University Calif. Santa Barbara, USA, and University Queensland, Australia, and the most produc- tive countries were the USA followed by UK and Canada.", "author" : [ { "dropping-particle" : "", "family" : "Saravanan", "given" : "G.", "non-dropping-particle" : "", "parse-names" : false, "suffix" : "" }, { "dropping-particle" : "", "family" : "Dominic", "given" : "J.", "non-dropping-particle" : "", "parse-names" : false, "suffix" : "" } ], "container-title" : "Journal of Information Science Theory and Practice", "id" : "ITEM-1", "issue" : "3", "issued" : { "date-parts" : [ [ "2014" ] ] }, "page" : "40-54", "title" : "A Ten-year Bibliometric Analysis of Research Trends in Three Leading Ecology Journals during 2003-2012", "type" : "article-journal", "volume" : "2" }, "uris" : [ "http://www.mendeley.com/documents/?uuid=d608d953-a805-3ba3-bf79-72331d45078f", "http://www.mendeley.com/documents/?uuid=4c70d00b-2440-4da2-885a-ad1d5a37dbcd" ] } ], "mendeley" : { "formattedCitation" : "(Saravanan &amp; Dominic, 2014)", "plainTextFormattedCitation" : "(Saravanan &amp; Dominic, 2014)", "previouslyFormattedCitation" : "(Saravanan &amp; Dominic, 2014)" }, "properties" : { "noteIndex" : 0 }, "schema" : "https://github.com/citation-style-language/schema/raw/master/csl-citation.json" }</w:instrText>
      </w:r>
      <w:r w:rsidRPr="00CD7F68">
        <w:rPr>
          <w:rFonts w:ascii="Arial" w:hAnsi="Arial" w:cs="Arial"/>
          <w:color w:val="000000" w:themeColor="text1"/>
        </w:rPr>
        <w:fldChar w:fldCharType="separate"/>
      </w:r>
      <w:r w:rsidR="00370AA1" w:rsidRPr="00CD7F68">
        <w:rPr>
          <w:rFonts w:ascii="Arial" w:hAnsi="Arial" w:cs="Arial"/>
          <w:noProof/>
          <w:color w:val="000000" w:themeColor="text1"/>
        </w:rPr>
        <w:t>(Saravanan &amp; Dominic, 2014)</w:t>
      </w:r>
      <w:r w:rsidRPr="00CD7F68">
        <w:rPr>
          <w:rFonts w:ascii="Arial" w:hAnsi="Arial" w:cs="Arial"/>
          <w:color w:val="000000" w:themeColor="text1"/>
        </w:rPr>
        <w:fldChar w:fldCharType="end"/>
      </w:r>
      <w:r w:rsidRPr="00CD7F68">
        <w:rPr>
          <w:rFonts w:ascii="Arial" w:hAnsi="Arial" w:cs="Arial"/>
          <w:color w:val="000000" w:themeColor="text1"/>
        </w:rPr>
        <w:t>.</w:t>
      </w:r>
    </w:p>
    <w:p w14:paraId="48C9CDE5" w14:textId="77777777" w:rsidR="00355CDB" w:rsidRPr="00CD7F68" w:rsidRDefault="00355CDB" w:rsidP="00CD7F68">
      <w:pPr>
        <w:spacing w:line="480" w:lineRule="auto"/>
        <w:rPr>
          <w:rFonts w:ascii="Arial" w:hAnsi="Arial" w:cs="Arial"/>
          <w:color w:val="000000" w:themeColor="text1"/>
        </w:rPr>
      </w:pPr>
    </w:p>
    <w:p w14:paraId="00ECA0E3" w14:textId="77777777" w:rsidR="000D4D9C" w:rsidRPr="00CD7F68" w:rsidRDefault="000D4D9C" w:rsidP="00CD7F68">
      <w:pPr>
        <w:spacing w:line="480" w:lineRule="auto"/>
        <w:rPr>
          <w:rFonts w:ascii="Arial" w:hAnsi="Arial" w:cs="Arial"/>
          <w:color w:val="000000" w:themeColor="text1"/>
        </w:rPr>
      </w:pPr>
      <m:oMath>
        <m:r>
          <w:rPr>
            <w:rFonts w:ascii="Cambria Math" w:hAnsi="Cambria Math" w:cs="Arial"/>
            <w:color w:val="000000" w:themeColor="text1"/>
          </w:rPr>
          <m:t>DC=</m:t>
        </m:r>
        <m:f>
          <m:fPr>
            <m:ctrlPr>
              <w:rPr>
                <w:rFonts w:ascii="Cambria Math" w:hAnsi="Cambria Math" w:cs="Arial"/>
                <w:i/>
                <w:color w:val="000000" w:themeColor="text1"/>
              </w:rPr>
            </m:ctrlPr>
          </m:fPr>
          <m:num>
            <m:sSub>
              <m:sSubPr>
                <m:ctrlPr>
                  <w:rPr>
                    <w:rFonts w:ascii="Cambria Math" w:hAnsi="Cambria Math" w:cs="Arial"/>
                    <w:i/>
                    <w:color w:val="000000" w:themeColor="text1"/>
                  </w:rPr>
                </m:ctrlPr>
              </m:sSubPr>
              <m:e>
                <m:r>
                  <w:rPr>
                    <w:rFonts w:ascii="Cambria Math" w:hAnsi="Cambria Math" w:cs="Arial"/>
                    <w:color w:val="000000" w:themeColor="text1"/>
                  </w:rPr>
                  <m:t>N</m:t>
                </m:r>
              </m:e>
              <m:sub>
                <m:r>
                  <w:rPr>
                    <w:rFonts w:ascii="Cambria Math" w:hAnsi="Cambria Math" w:cs="Arial"/>
                    <w:color w:val="000000" w:themeColor="text1"/>
                  </w:rPr>
                  <m:t>m</m:t>
                </m:r>
              </m:sub>
            </m:sSub>
          </m:num>
          <m:den>
            <m:sSub>
              <m:sSubPr>
                <m:ctrlPr>
                  <w:rPr>
                    <w:rFonts w:ascii="Cambria Math" w:hAnsi="Cambria Math" w:cs="Arial"/>
                    <w:i/>
                    <w:color w:val="000000" w:themeColor="text1"/>
                  </w:rPr>
                </m:ctrlPr>
              </m:sSubPr>
              <m:e>
                <m:r>
                  <w:rPr>
                    <w:rFonts w:ascii="Cambria Math" w:hAnsi="Cambria Math" w:cs="Arial"/>
                    <w:color w:val="000000" w:themeColor="text1"/>
                  </w:rPr>
                  <m:t>N</m:t>
                </m:r>
              </m:e>
              <m:sub>
                <m:r>
                  <w:rPr>
                    <w:rFonts w:ascii="Cambria Math" w:hAnsi="Cambria Math" w:cs="Arial"/>
                    <w:color w:val="000000" w:themeColor="text1"/>
                  </w:rPr>
                  <m:t>m</m:t>
                </m:r>
              </m:sub>
            </m:sSub>
            <m:r>
              <w:rPr>
                <w:rFonts w:ascii="Cambria Math" w:hAnsi="Cambria Math" w:cs="Arial"/>
                <w:color w:val="000000" w:themeColor="text1"/>
              </w:rPr>
              <m:t>+</m:t>
            </m:r>
            <m:sSub>
              <m:sSubPr>
                <m:ctrlPr>
                  <w:rPr>
                    <w:rFonts w:ascii="Cambria Math" w:hAnsi="Cambria Math" w:cs="Arial"/>
                    <w:i/>
                    <w:color w:val="000000" w:themeColor="text1"/>
                  </w:rPr>
                </m:ctrlPr>
              </m:sSubPr>
              <m:e>
                <m:r>
                  <w:rPr>
                    <w:rFonts w:ascii="Cambria Math" w:hAnsi="Cambria Math" w:cs="Arial"/>
                    <w:color w:val="000000" w:themeColor="text1"/>
                  </w:rPr>
                  <m:t>N</m:t>
                </m:r>
              </m:e>
              <m:sub>
                <m:r>
                  <w:rPr>
                    <w:rFonts w:ascii="Cambria Math" w:hAnsi="Cambria Math" w:cs="Arial"/>
                    <w:color w:val="000000" w:themeColor="text1"/>
                  </w:rPr>
                  <m:t>s</m:t>
                </m:r>
              </m:sub>
            </m:sSub>
          </m:den>
        </m:f>
      </m:oMath>
      <w:r w:rsidRPr="00CD7F68">
        <w:rPr>
          <w:rFonts w:ascii="Arial" w:hAnsi="Arial" w:cs="Arial"/>
          <w:color w:val="000000" w:themeColor="text1"/>
        </w:rPr>
        <w:t xml:space="preserve">                                            (4)</w:t>
      </w:r>
    </w:p>
    <w:p w14:paraId="10E4DE03" w14:textId="77777777" w:rsidR="00355CDB" w:rsidRPr="00CD7F68" w:rsidRDefault="00355CDB" w:rsidP="00CD7F68">
      <w:pPr>
        <w:spacing w:line="480" w:lineRule="auto"/>
        <w:rPr>
          <w:rFonts w:ascii="Arial" w:hAnsi="Arial" w:cs="Arial"/>
          <w:color w:val="000000" w:themeColor="text1"/>
        </w:rPr>
      </w:pPr>
    </w:p>
    <w:p w14:paraId="3725DFC0" w14:textId="42AFFEE3" w:rsidR="000D4D9C" w:rsidRPr="00CD7F68" w:rsidRDefault="000D4D9C" w:rsidP="00CD7F68">
      <w:pPr>
        <w:spacing w:line="480" w:lineRule="auto"/>
        <w:rPr>
          <w:rFonts w:ascii="Arial" w:hAnsi="Arial" w:cs="Arial"/>
          <w:color w:val="000000" w:themeColor="text1"/>
        </w:rPr>
      </w:pPr>
      <w:r w:rsidRPr="00CD7F68">
        <w:rPr>
          <w:rFonts w:ascii="Arial" w:hAnsi="Arial" w:cs="Arial"/>
          <w:color w:val="000000" w:themeColor="text1"/>
        </w:rPr>
        <w:t xml:space="preserve">The CC was calculated following the approach developed by </w:t>
      </w:r>
      <w:proofErr w:type="spellStart"/>
      <w:r w:rsidRPr="00CD7F68">
        <w:rPr>
          <w:rFonts w:ascii="Arial" w:hAnsi="Arial" w:cs="Arial"/>
          <w:color w:val="000000" w:themeColor="text1"/>
        </w:rPr>
        <w:t>Ajiferuke</w:t>
      </w:r>
      <w:proofErr w:type="spellEnd"/>
      <w:r w:rsidRPr="00CD7F68">
        <w:rPr>
          <w:rFonts w:ascii="Arial" w:hAnsi="Arial" w:cs="Arial"/>
          <w:color w:val="000000" w:themeColor="text1"/>
        </w:rPr>
        <w:t xml:space="preserve"> et al., (1988), based on the idea that by using only the CI and the DC, although providing a fairly clear idea of the extent of collaboration in a discipline (</w:t>
      </w:r>
      <w:proofErr w:type="spellStart"/>
      <w:r w:rsidRPr="00CD7F68">
        <w:rPr>
          <w:rFonts w:ascii="Arial" w:hAnsi="Arial" w:cs="Arial"/>
          <w:color w:val="000000" w:themeColor="text1"/>
        </w:rPr>
        <w:t>Subramanyam</w:t>
      </w:r>
      <w:proofErr w:type="spellEnd"/>
      <w:r w:rsidRPr="00CD7F68">
        <w:rPr>
          <w:rFonts w:ascii="Arial" w:hAnsi="Arial" w:cs="Arial"/>
          <w:color w:val="000000" w:themeColor="text1"/>
        </w:rPr>
        <w:t xml:space="preserve">, 1983), may create problems in comparative studies. Under this approach, the CC was calculated assuming that credits in publications were to be assigned as 1/n, with single authors receiving one credit, papers with two authors receiving ½ credits (half for each author) and papers with X authors received 1/x credits, such as the average credit awarded to each author of a random paper would be </w:t>
      </w:r>
      <w:proofErr w:type="gramStart"/>
      <w:r w:rsidRPr="00CD7F68">
        <w:rPr>
          <w:rFonts w:ascii="Arial" w:hAnsi="Arial" w:cs="Arial"/>
          <w:color w:val="000000" w:themeColor="text1"/>
        </w:rPr>
        <w:t>E[</w:t>
      </w:r>
      <w:proofErr w:type="gramEnd"/>
      <w:r w:rsidRPr="00CD7F68">
        <w:rPr>
          <w:rFonts w:ascii="Arial" w:hAnsi="Arial" w:cs="Arial"/>
          <w:color w:val="000000" w:themeColor="text1"/>
        </w:rPr>
        <w:t>1/x), ranging from 0 to 1 (</w:t>
      </w:r>
      <w:proofErr w:type="spellStart"/>
      <w:r w:rsidRPr="00CD7F68">
        <w:rPr>
          <w:rFonts w:ascii="Arial" w:hAnsi="Arial" w:cs="Arial"/>
          <w:color w:val="000000" w:themeColor="text1"/>
        </w:rPr>
        <w:t>Ajiferuke</w:t>
      </w:r>
      <w:proofErr w:type="spellEnd"/>
      <w:r w:rsidRPr="00CD7F68">
        <w:rPr>
          <w:rFonts w:ascii="Arial" w:hAnsi="Arial" w:cs="Arial"/>
          <w:color w:val="000000" w:themeColor="text1"/>
        </w:rPr>
        <w:t xml:space="preserve"> et al., 1988).</w:t>
      </w:r>
    </w:p>
    <w:p w14:paraId="430592BE" w14:textId="77777777" w:rsidR="00830F49" w:rsidRPr="00CD7F68" w:rsidRDefault="00830F49" w:rsidP="00CD7F68">
      <w:pPr>
        <w:spacing w:line="480" w:lineRule="auto"/>
        <w:rPr>
          <w:rFonts w:ascii="Arial" w:hAnsi="Arial" w:cs="Arial"/>
          <w:color w:val="000000" w:themeColor="text1"/>
        </w:rPr>
      </w:pPr>
    </w:p>
    <w:p w14:paraId="47DB57D8" w14:textId="77777777" w:rsidR="00830F49" w:rsidRPr="00CD7F68" w:rsidRDefault="00830F49" w:rsidP="00CD7F68">
      <w:pPr>
        <w:spacing w:line="480" w:lineRule="auto"/>
        <w:rPr>
          <w:rFonts w:ascii="Arial" w:hAnsi="Arial" w:cs="Arial"/>
          <w:color w:val="000000" w:themeColor="text1"/>
        </w:rPr>
      </w:pPr>
      <w:r w:rsidRPr="00CD7F68">
        <w:rPr>
          <w:rFonts w:ascii="Arial" w:hAnsi="Arial" w:cs="Arial"/>
          <w:color w:val="000000" w:themeColor="text1"/>
        </w:rPr>
        <w:t>References:</w:t>
      </w:r>
    </w:p>
    <w:p w14:paraId="568F1C23" w14:textId="42E71F55" w:rsidR="00226A77" w:rsidRPr="00CD7F68" w:rsidRDefault="00226A77" w:rsidP="00CD7F68">
      <w:pPr>
        <w:spacing w:line="480" w:lineRule="auto"/>
        <w:ind w:left="567" w:hanging="567"/>
        <w:rPr>
          <w:rFonts w:ascii="Arial" w:hAnsi="Arial" w:cs="Arial"/>
          <w:color w:val="000000" w:themeColor="text1"/>
        </w:rPr>
      </w:pPr>
      <w:proofErr w:type="spellStart"/>
      <w:r w:rsidRPr="00CD7F68">
        <w:rPr>
          <w:rFonts w:ascii="Arial" w:hAnsi="Arial" w:cs="Arial"/>
          <w:color w:val="000000" w:themeColor="text1"/>
        </w:rPr>
        <w:t>Subramanyam</w:t>
      </w:r>
      <w:proofErr w:type="spellEnd"/>
      <w:r w:rsidRPr="00CD7F68">
        <w:rPr>
          <w:rFonts w:ascii="Arial" w:hAnsi="Arial" w:cs="Arial"/>
          <w:color w:val="000000" w:themeColor="text1"/>
        </w:rPr>
        <w:t xml:space="preserve">, K. (1983). </w:t>
      </w:r>
      <w:proofErr w:type="spellStart"/>
      <w:r w:rsidRPr="00CD7F68">
        <w:rPr>
          <w:rFonts w:ascii="Arial" w:hAnsi="Arial" w:cs="Arial"/>
          <w:color w:val="000000" w:themeColor="text1"/>
        </w:rPr>
        <w:t>Bibliometric</w:t>
      </w:r>
      <w:proofErr w:type="spellEnd"/>
      <w:r w:rsidRPr="00CD7F68">
        <w:rPr>
          <w:rFonts w:ascii="Arial" w:hAnsi="Arial" w:cs="Arial"/>
          <w:color w:val="000000" w:themeColor="text1"/>
        </w:rPr>
        <w:t xml:space="preserve"> studies of research collaboration: a</w:t>
      </w:r>
      <w:r w:rsidR="00CD7F68" w:rsidRPr="00CD7F68">
        <w:rPr>
          <w:rFonts w:ascii="Arial" w:hAnsi="Arial" w:cs="Arial"/>
          <w:color w:val="000000" w:themeColor="text1"/>
        </w:rPr>
        <w:t xml:space="preserve"> review. </w:t>
      </w:r>
      <w:proofErr w:type="gramStart"/>
      <w:r w:rsidRPr="00CD7F68">
        <w:rPr>
          <w:rFonts w:ascii="Arial" w:hAnsi="Arial" w:cs="Arial"/>
          <w:i/>
          <w:color w:val="000000" w:themeColor="text1"/>
        </w:rPr>
        <w:t>Journal of Information Science</w:t>
      </w:r>
      <w:r w:rsidRPr="00CD7F68">
        <w:rPr>
          <w:rFonts w:ascii="Arial" w:hAnsi="Arial" w:cs="Arial"/>
          <w:color w:val="000000" w:themeColor="text1"/>
        </w:rPr>
        <w:t xml:space="preserve"> 6: 33-38.</w:t>
      </w:r>
      <w:proofErr w:type="gramEnd"/>
      <w:r w:rsidRPr="00CD7F68">
        <w:rPr>
          <w:rFonts w:ascii="Arial" w:hAnsi="Arial" w:cs="Arial"/>
          <w:color w:val="000000" w:themeColor="text1"/>
        </w:rPr>
        <w:t xml:space="preserve"> </w:t>
      </w:r>
      <w:proofErr w:type="spellStart"/>
      <w:proofErr w:type="gramStart"/>
      <w:r w:rsidRPr="00CD7F68">
        <w:rPr>
          <w:rFonts w:ascii="Arial" w:hAnsi="Arial" w:cs="Arial"/>
          <w:color w:val="000000" w:themeColor="text1"/>
        </w:rPr>
        <w:t>doi</w:t>
      </w:r>
      <w:proofErr w:type="spellEnd"/>
      <w:proofErr w:type="gramEnd"/>
      <w:r w:rsidRPr="00CD7F68">
        <w:rPr>
          <w:rFonts w:ascii="Arial" w:hAnsi="Arial" w:cs="Arial"/>
          <w:color w:val="000000" w:themeColor="text1"/>
        </w:rPr>
        <w:t>: 10.1177/016555158300600105</w:t>
      </w:r>
    </w:p>
    <w:p w14:paraId="68AAD795" w14:textId="05AFC1F1" w:rsidR="00226A77" w:rsidRPr="00CD7F68" w:rsidRDefault="00226A77" w:rsidP="00CD7F68">
      <w:pPr>
        <w:spacing w:line="480" w:lineRule="auto"/>
        <w:ind w:left="567" w:hanging="567"/>
        <w:rPr>
          <w:rFonts w:ascii="Arial" w:hAnsi="Arial" w:cs="Arial"/>
          <w:color w:val="000000" w:themeColor="text1"/>
        </w:rPr>
      </w:pPr>
      <w:proofErr w:type="spellStart"/>
      <w:proofErr w:type="gramStart"/>
      <w:r w:rsidRPr="00CD7F68">
        <w:rPr>
          <w:rFonts w:ascii="Arial" w:hAnsi="Arial" w:cs="Arial"/>
          <w:color w:val="000000" w:themeColor="text1"/>
        </w:rPr>
        <w:t>Ajiferuke</w:t>
      </w:r>
      <w:proofErr w:type="spellEnd"/>
      <w:r w:rsidRPr="00CD7F68">
        <w:rPr>
          <w:rFonts w:ascii="Arial" w:hAnsi="Arial" w:cs="Arial"/>
          <w:color w:val="000000" w:themeColor="text1"/>
        </w:rPr>
        <w:t xml:space="preserve">, I.; </w:t>
      </w:r>
      <w:proofErr w:type="spellStart"/>
      <w:r w:rsidRPr="00CD7F68">
        <w:rPr>
          <w:rFonts w:ascii="Arial" w:hAnsi="Arial" w:cs="Arial"/>
          <w:color w:val="000000" w:themeColor="text1"/>
        </w:rPr>
        <w:t>Burrel</w:t>
      </w:r>
      <w:proofErr w:type="spellEnd"/>
      <w:r w:rsidRPr="00CD7F68">
        <w:rPr>
          <w:rFonts w:ascii="Arial" w:hAnsi="Arial" w:cs="Arial"/>
          <w:color w:val="000000" w:themeColor="text1"/>
        </w:rPr>
        <w:t xml:space="preserve">, Q.; </w:t>
      </w:r>
      <w:proofErr w:type="spellStart"/>
      <w:r w:rsidRPr="00CD7F68">
        <w:rPr>
          <w:rFonts w:ascii="Arial" w:hAnsi="Arial" w:cs="Arial"/>
          <w:color w:val="000000" w:themeColor="text1"/>
        </w:rPr>
        <w:t>Tague</w:t>
      </w:r>
      <w:proofErr w:type="spellEnd"/>
      <w:r w:rsidRPr="00CD7F68">
        <w:rPr>
          <w:rFonts w:ascii="Arial" w:hAnsi="Arial" w:cs="Arial"/>
          <w:color w:val="000000" w:themeColor="text1"/>
        </w:rPr>
        <w:t>, J. (1988).</w:t>
      </w:r>
      <w:proofErr w:type="gramEnd"/>
      <w:r w:rsidRPr="00CD7F68">
        <w:rPr>
          <w:rFonts w:ascii="Arial" w:hAnsi="Arial" w:cs="Arial"/>
          <w:color w:val="000000" w:themeColor="text1"/>
        </w:rPr>
        <w:t xml:space="preserve">  Collaborative coefficient: a single measure of the degree of collaboration in research. </w:t>
      </w:r>
      <w:proofErr w:type="spellStart"/>
      <w:proofErr w:type="gramStart"/>
      <w:r w:rsidRPr="00CD7F68">
        <w:rPr>
          <w:rFonts w:ascii="Arial" w:hAnsi="Arial" w:cs="Arial"/>
          <w:i/>
          <w:color w:val="000000" w:themeColor="text1"/>
        </w:rPr>
        <w:t>Scientometrics</w:t>
      </w:r>
      <w:proofErr w:type="spellEnd"/>
      <w:r w:rsidRPr="00CD7F68">
        <w:rPr>
          <w:rFonts w:ascii="Arial" w:hAnsi="Arial" w:cs="Arial"/>
          <w:color w:val="000000" w:themeColor="text1"/>
        </w:rPr>
        <w:t xml:space="preserve"> 14: 421-433.</w:t>
      </w:r>
      <w:proofErr w:type="gramEnd"/>
      <w:r w:rsidRPr="00CD7F68">
        <w:rPr>
          <w:rFonts w:ascii="Arial" w:hAnsi="Arial" w:cs="Arial"/>
          <w:color w:val="000000" w:themeColor="text1"/>
        </w:rPr>
        <w:t xml:space="preserve"> </w:t>
      </w:r>
      <w:proofErr w:type="spellStart"/>
      <w:r w:rsidRPr="00CD7F68">
        <w:rPr>
          <w:rFonts w:ascii="Arial" w:hAnsi="Arial" w:cs="Arial"/>
          <w:color w:val="000000" w:themeColor="text1"/>
        </w:rPr>
        <w:t>Doi</w:t>
      </w:r>
      <w:proofErr w:type="spellEnd"/>
      <w:r w:rsidRPr="00CD7F68">
        <w:rPr>
          <w:rFonts w:ascii="Arial" w:hAnsi="Arial" w:cs="Arial"/>
          <w:color w:val="000000" w:themeColor="text1"/>
        </w:rPr>
        <w:t>: 10.1007/BF02017100</w:t>
      </w:r>
    </w:p>
    <w:p w14:paraId="44C5C49F" w14:textId="77777777" w:rsidR="00830F49" w:rsidRPr="00CD7F68" w:rsidRDefault="00830F49" w:rsidP="00CD7F68">
      <w:pPr>
        <w:spacing w:line="480" w:lineRule="auto"/>
        <w:ind w:left="567" w:hanging="567"/>
        <w:rPr>
          <w:rFonts w:ascii="Arial" w:hAnsi="Arial" w:cs="Arial"/>
          <w:color w:val="000000" w:themeColor="text1"/>
        </w:rPr>
      </w:pPr>
      <w:proofErr w:type="spellStart"/>
      <w:r w:rsidRPr="00CD7F68">
        <w:rPr>
          <w:rFonts w:ascii="Arial" w:hAnsi="Arial" w:cs="Arial"/>
          <w:color w:val="000000" w:themeColor="text1"/>
        </w:rPr>
        <w:t>Sangam</w:t>
      </w:r>
      <w:proofErr w:type="spellEnd"/>
      <w:r w:rsidRPr="00CD7F68">
        <w:rPr>
          <w:rFonts w:ascii="Arial" w:hAnsi="Arial" w:cs="Arial"/>
          <w:color w:val="000000" w:themeColor="text1"/>
        </w:rPr>
        <w:t xml:space="preserve">, S.L &amp; </w:t>
      </w:r>
      <w:proofErr w:type="spellStart"/>
      <w:r w:rsidRPr="00CD7F68">
        <w:rPr>
          <w:rFonts w:ascii="Arial" w:hAnsi="Arial" w:cs="Arial"/>
          <w:color w:val="000000" w:themeColor="text1"/>
        </w:rPr>
        <w:t>Keshava</w:t>
      </w:r>
      <w:proofErr w:type="spellEnd"/>
      <w:r w:rsidRPr="00CD7F68">
        <w:rPr>
          <w:rFonts w:ascii="Arial" w:hAnsi="Arial" w:cs="Arial"/>
          <w:color w:val="000000" w:themeColor="text1"/>
        </w:rPr>
        <w:t xml:space="preserve">. 2003. Growth pattern of literature in the field of social science. </w:t>
      </w:r>
      <w:r w:rsidRPr="00CD7F68">
        <w:rPr>
          <w:rFonts w:ascii="Arial" w:hAnsi="Arial" w:cs="Arial"/>
          <w:i/>
          <w:color w:val="000000" w:themeColor="text1"/>
        </w:rPr>
        <w:t>SRELS Journal of Information Management</w:t>
      </w:r>
      <w:r w:rsidRPr="00CD7F68">
        <w:rPr>
          <w:rFonts w:ascii="Arial" w:hAnsi="Arial" w:cs="Arial"/>
          <w:color w:val="000000" w:themeColor="text1"/>
        </w:rPr>
        <w:t xml:space="preserve"> 40(1): 77-84. DOI: 10.17821/</w:t>
      </w:r>
      <w:proofErr w:type="spellStart"/>
      <w:r w:rsidRPr="00CD7F68">
        <w:rPr>
          <w:rFonts w:ascii="Arial" w:hAnsi="Arial" w:cs="Arial"/>
          <w:color w:val="000000" w:themeColor="text1"/>
        </w:rPr>
        <w:t>srels</w:t>
      </w:r>
      <w:proofErr w:type="spellEnd"/>
      <w:r w:rsidRPr="00CD7F68">
        <w:rPr>
          <w:rFonts w:ascii="Arial" w:hAnsi="Arial" w:cs="Arial"/>
          <w:color w:val="000000" w:themeColor="text1"/>
        </w:rPr>
        <w:t>/2003/v40i1/48888</w:t>
      </w:r>
    </w:p>
    <w:p w14:paraId="4971EA51" w14:textId="4DB0C629" w:rsidR="00CD7F68" w:rsidRPr="00CD7F68" w:rsidRDefault="00CD7F68" w:rsidP="00CD7F68">
      <w:pPr>
        <w:pStyle w:val="NormalWeb"/>
        <w:spacing w:before="0" w:beforeAutospacing="0" w:after="0" w:afterAutospacing="0" w:line="480" w:lineRule="auto"/>
        <w:ind w:left="567" w:hanging="567"/>
        <w:divId w:val="1119490578"/>
        <w:rPr>
          <w:rFonts w:ascii="Arial" w:hAnsi="Arial" w:cs="Arial"/>
          <w:noProof/>
          <w:sz w:val="24"/>
          <w:szCs w:val="24"/>
        </w:rPr>
      </w:pPr>
      <w:r w:rsidRPr="00CD7F68">
        <w:rPr>
          <w:rFonts w:ascii="Arial" w:hAnsi="Arial" w:cs="Arial"/>
          <w:color w:val="000000" w:themeColor="text1"/>
          <w:sz w:val="24"/>
          <w:szCs w:val="24"/>
        </w:rPr>
        <w:fldChar w:fldCharType="begin" w:fldLock="1"/>
      </w:r>
      <w:r w:rsidRPr="00CD7F68">
        <w:rPr>
          <w:rFonts w:ascii="Arial" w:hAnsi="Arial" w:cs="Arial"/>
          <w:color w:val="000000" w:themeColor="text1"/>
          <w:sz w:val="24"/>
          <w:szCs w:val="24"/>
        </w:rPr>
        <w:instrText xml:space="preserve">ADDIN Mendeley Bibliography CSL_BIBLIOGRAPHY </w:instrText>
      </w:r>
      <w:r w:rsidRPr="00CD7F68">
        <w:rPr>
          <w:rFonts w:ascii="Arial" w:hAnsi="Arial" w:cs="Arial"/>
          <w:color w:val="000000" w:themeColor="text1"/>
          <w:sz w:val="24"/>
          <w:szCs w:val="24"/>
        </w:rPr>
        <w:fldChar w:fldCharType="separate"/>
      </w:r>
      <w:r w:rsidRPr="00CD7F68">
        <w:rPr>
          <w:rFonts w:ascii="Arial" w:hAnsi="Arial" w:cs="Arial"/>
          <w:noProof/>
          <w:sz w:val="24"/>
          <w:szCs w:val="24"/>
        </w:rPr>
        <w:t xml:space="preserve">Govindaradjou, S., &amp; John, D. (2014). Quantitative analysis of research trends in a leading ecological journal : bibliometric study during 2003-2012. </w:t>
      </w:r>
      <w:r w:rsidRPr="00CD7F68">
        <w:rPr>
          <w:rFonts w:ascii="Arial" w:hAnsi="Arial" w:cs="Arial"/>
          <w:i/>
          <w:iCs/>
          <w:noProof/>
          <w:sz w:val="24"/>
          <w:szCs w:val="24"/>
        </w:rPr>
        <w:t>SA Jnl Libs &amp; Info Sci</w:t>
      </w:r>
      <w:r w:rsidRPr="00CD7F68">
        <w:rPr>
          <w:rFonts w:ascii="Arial" w:hAnsi="Arial" w:cs="Arial"/>
          <w:noProof/>
          <w:sz w:val="24"/>
          <w:szCs w:val="24"/>
        </w:rPr>
        <w:t xml:space="preserve">, </w:t>
      </w:r>
      <w:r w:rsidRPr="00CD7F68">
        <w:rPr>
          <w:rFonts w:ascii="Arial" w:hAnsi="Arial" w:cs="Arial"/>
          <w:i/>
          <w:iCs/>
          <w:noProof/>
          <w:sz w:val="24"/>
          <w:szCs w:val="24"/>
        </w:rPr>
        <w:t>80</w:t>
      </w:r>
      <w:r w:rsidRPr="00CD7F68">
        <w:rPr>
          <w:rFonts w:ascii="Arial" w:hAnsi="Arial" w:cs="Arial"/>
          <w:noProof/>
          <w:sz w:val="24"/>
          <w:szCs w:val="24"/>
        </w:rPr>
        <w:t>(2011), 27–40. doi:10.7553/80-1-181</w:t>
      </w:r>
    </w:p>
    <w:p w14:paraId="3237105A" w14:textId="77777777" w:rsidR="00CD7F68" w:rsidRPr="00CD7F68" w:rsidRDefault="00CD7F68" w:rsidP="00CD7F68">
      <w:pPr>
        <w:pStyle w:val="NormalWeb"/>
        <w:spacing w:before="0" w:beforeAutospacing="0" w:after="0" w:afterAutospacing="0" w:line="480" w:lineRule="auto"/>
        <w:ind w:left="567" w:hanging="567"/>
        <w:divId w:val="1119490578"/>
        <w:rPr>
          <w:rFonts w:ascii="Arial" w:hAnsi="Arial" w:cs="Arial"/>
          <w:noProof/>
          <w:sz w:val="24"/>
          <w:szCs w:val="24"/>
        </w:rPr>
      </w:pPr>
      <w:r w:rsidRPr="00CD7F68">
        <w:rPr>
          <w:rFonts w:ascii="Arial" w:hAnsi="Arial" w:cs="Arial"/>
          <w:noProof/>
          <w:sz w:val="24"/>
          <w:szCs w:val="24"/>
        </w:rPr>
        <w:t xml:space="preserve">Lawani, S. M. (1980). </w:t>
      </w:r>
      <w:r w:rsidRPr="00CD7F68">
        <w:rPr>
          <w:rFonts w:ascii="Arial" w:hAnsi="Arial" w:cs="Arial"/>
          <w:i/>
          <w:iCs/>
          <w:noProof/>
          <w:sz w:val="24"/>
          <w:szCs w:val="24"/>
        </w:rPr>
        <w:t>Quality, collaboration and citation in cancer research: a bibliometric study</w:t>
      </w:r>
      <w:r w:rsidRPr="00CD7F68">
        <w:rPr>
          <w:rFonts w:ascii="Arial" w:hAnsi="Arial" w:cs="Arial"/>
          <w:noProof/>
          <w:sz w:val="24"/>
          <w:szCs w:val="24"/>
        </w:rPr>
        <w:t>. Florida State University.</w:t>
      </w:r>
    </w:p>
    <w:p w14:paraId="057B07E4" w14:textId="77777777" w:rsidR="00CD7F68" w:rsidRPr="00CD7F68" w:rsidRDefault="00CD7F68" w:rsidP="00CD7F68">
      <w:pPr>
        <w:pStyle w:val="NormalWeb"/>
        <w:spacing w:before="0" w:beforeAutospacing="0" w:after="0" w:afterAutospacing="0" w:line="480" w:lineRule="auto"/>
        <w:ind w:left="567" w:hanging="567"/>
        <w:divId w:val="1119490578"/>
        <w:rPr>
          <w:rFonts w:ascii="Arial" w:hAnsi="Arial" w:cs="Arial"/>
          <w:noProof/>
          <w:sz w:val="24"/>
          <w:szCs w:val="24"/>
        </w:rPr>
      </w:pPr>
      <w:r w:rsidRPr="00CD7F68">
        <w:rPr>
          <w:rFonts w:ascii="Arial" w:hAnsi="Arial" w:cs="Arial"/>
          <w:noProof/>
          <w:sz w:val="24"/>
          <w:szCs w:val="24"/>
        </w:rPr>
        <w:t xml:space="preserve">Mahapatra, M. (1985). On the validity of the theory of exponential growth of scientific literature. In </w:t>
      </w:r>
      <w:r w:rsidRPr="00CD7F68">
        <w:rPr>
          <w:rFonts w:ascii="Arial" w:hAnsi="Arial" w:cs="Arial"/>
          <w:i/>
          <w:iCs/>
          <w:noProof/>
          <w:sz w:val="24"/>
          <w:szCs w:val="24"/>
        </w:rPr>
        <w:t>The 15th IASLIC Conference Proceedings</w:t>
      </w:r>
      <w:r w:rsidRPr="00CD7F68">
        <w:rPr>
          <w:rFonts w:ascii="Arial" w:hAnsi="Arial" w:cs="Arial"/>
          <w:noProof/>
          <w:sz w:val="24"/>
          <w:szCs w:val="24"/>
        </w:rPr>
        <w:t xml:space="preserve"> (pp. 61–70). Banglor: IASLIC.</w:t>
      </w:r>
    </w:p>
    <w:p w14:paraId="5BEA7C56" w14:textId="77777777" w:rsidR="00CD7F68" w:rsidRPr="00CD7F68" w:rsidRDefault="00CD7F68" w:rsidP="00CD7F68">
      <w:pPr>
        <w:pStyle w:val="NormalWeb"/>
        <w:spacing w:before="0" w:beforeAutospacing="0" w:after="0" w:afterAutospacing="0" w:line="480" w:lineRule="auto"/>
        <w:ind w:left="567" w:hanging="567"/>
        <w:divId w:val="1119490578"/>
        <w:rPr>
          <w:rFonts w:ascii="Arial" w:hAnsi="Arial" w:cs="Arial"/>
          <w:noProof/>
          <w:sz w:val="24"/>
          <w:szCs w:val="24"/>
        </w:rPr>
      </w:pPr>
      <w:r w:rsidRPr="00CD7F68">
        <w:rPr>
          <w:rFonts w:ascii="Arial" w:hAnsi="Arial" w:cs="Arial"/>
          <w:noProof/>
          <w:sz w:val="24"/>
          <w:szCs w:val="24"/>
        </w:rPr>
        <w:t xml:space="preserve">Saravanan, G., &amp; Dominic, J. (2014). A Ten-year Bibliometric Analysis of Research Trends in Three Leading Ecology Journals during 2003-2012. </w:t>
      </w:r>
      <w:r w:rsidRPr="00CD7F68">
        <w:rPr>
          <w:rFonts w:ascii="Arial" w:hAnsi="Arial" w:cs="Arial"/>
          <w:i/>
          <w:iCs/>
          <w:noProof/>
          <w:sz w:val="24"/>
          <w:szCs w:val="24"/>
        </w:rPr>
        <w:t>Journal of Information Science Theory and Practice</w:t>
      </w:r>
      <w:r w:rsidRPr="00CD7F68">
        <w:rPr>
          <w:rFonts w:ascii="Arial" w:hAnsi="Arial" w:cs="Arial"/>
          <w:noProof/>
          <w:sz w:val="24"/>
          <w:szCs w:val="24"/>
        </w:rPr>
        <w:t xml:space="preserve">, </w:t>
      </w:r>
      <w:r w:rsidRPr="00CD7F68">
        <w:rPr>
          <w:rFonts w:ascii="Arial" w:hAnsi="Arial" w:cs="Arial"/>
          <w:i/>
          <w:iCs/>
          <w:noProof/>
          <w:sz w:val="24"/>
          <w:szCs w:val="24"/>
        </w:rPr>
        <w:t>2</w:t>
      </w:r>
      <w:r w:rsidRPr="00CD7F68">
        <w:rPr>
          <w:rFonts w:ascii="Arial" w:hAnsi="Arial" w:cs="Arial"/>
          <w:noProof/>
          <w:sz w:val="24"/>
          <w:szCs w:val="24"/>
        </w:rPr>
        <w:t>(3), 40–54. doi:10.1633/JISTaP.2014.2.3.4</w:t>
      </w:r>
    </w:p>
    <w:p w14:paraId="74D2171D" w14:textId="3912F43C" w:rsidR="00226A77" w:rsidRPr="00CD7F68" w:rsidRDefault="00CD7F68" w:rsidP="00CD7F68">
      <w:pPr>
        <w:spacing w:line="480" w:lineRule="auto"/>
        <w:ind w:left="567" w:hanging="567"/>
        <w:rPr>
          <w:rFonts w:ascii="Arial" w:hAnsi="Arial" w:cs="Arial"/>
          <w:color w:val="000000" w:themeColor="text1"/>
        </w:rPr>
      </w:pPr>
      <w:r w:rsidRPr="00CD7F68">
        <w:rPr>
          <w:rFonts w:ascii="Arial" w:hAnsi="Arial" w:cs="Arial"/>
          <w:color w:val="000000" w:themeColor="text1"/>
        </w:rPr>
        <w:fldChar w:fldCharType="end"/>
      </w:r>
    </w:p>
    <w:p w14:paraId="7214E8B7" w14:textId="37A9C7E3" w:rsidR="00CD7F68" w:rsidRPr="00CD7F68" w:rsidRDefault="00CD7F68" w:rsidP="00CD7F68">
      <w:pPr>
        <w:spacing w:line="480" w:lineRule="auto"/>
        <w:rPr>
          <w:rFonts w:ascii="Arial" w:hAnsi="Arial" w:cs="Arial"/>
          <w:color w:val="000000" w:themeColor="text1"/>
        </w:rPr>
      </w:pPr>
      <w:r w:rsidRPr="00CD7F68">
        <w:rPr>
          <w:rFonts w:ascii="Arial" w:hAnsi="Arial" w:cs="Arial"/>
          <w:color w:val="000000" w:themeColor="text1"/>
        </w:rPr>
        <w:br w:type="page"/>
      </w:r>
    </w:p>
    <w:p w14:paraId="66495C17" w14:textId="77777777" w:rsidR="00CD7F68" w:rsidRPr="00CD7F68" w:rsidRDefault="00CD7F68" w:rsidP="00CD7F68">
      <w:pPr>
        <w:spacing w:line="480" w:lineRule="auto"/>
        <w:rPr>
          <w:rFonts w:ascii="Arial" w:hAnsi="Arial" w:cs="Arial"/>
        </w:rPr>
      </w:pPr>
      <w:r w:rsidRPr="00CD7F68">
        <w:rPr>
          <w:rFonts w:ascii="Arial" w:hAnsi="Arial" w:cs="Arial"/>
          <w:b/>
          <w:color w:val="000000" w:themeColor="text1"/>
        </w:rPr>
        <w:t>Supplementary Table S2</w:t>
      </w:r>
      <w:r w:rsidRPr="00CD7F68">
        <w:rPr>
          <w:rFonts w:ascii="Arial" w:hAnsi="Arial" w:cs="Arial"/>
          <w:color w:val="000000" w:themeColor="text1"/>
        </w:rPr>
        <w:t xml:space="preserve">: </w:t>
      </w:r>
      <w:r w:rsidRPr="00CD7F68">
        <w:rPr>
          <w:rFonts w:ascii="Arial" w:hAnsi="Arial" w:cs="Arial"/>
        </w:rPr>
        <w:t>Growth rate (</w:t>
      </w:r>
      <w:proofErr w:type="spellStart"/>
      <w:r w:rsidRPr="00CD7F68">
        <w:rPr>
          <w:rFonts w:ascii="Arial" w:hAnsi="Arial" w:cs="Arial"/>
        </w:rPr>
        <w:t>Rp</w:t>
      </w:r>
      <w:proofErr w:type="spellEnd"/>
      <w:r w:rsidRPr="00CD7F68">
        <w:rPr>
          <w:rFonts w:ascii="Arial" w:hAnsi="Arial" w:cs="Arial"/>
        </w:rPr>
        <w:t>) and Doubling Time (</w:t>
      </w:r>
      <w:proofErr w:type="spellStart"/>
      <w:r w:rsidRPr="00CD7F68">
        <w:rPr>
          <w:rFonts w:ascii="Arial" w:hAnsi="Arial" w:cs="Arial"/>
        </w:rPr>
        <w:t>Dt</w:t>
      </w:r>
      <w:proofErr w:type="spellEnd"/>
      <w:r w:rsidRPr="00CD7F68">
        <w:rPr>
          <w:rFonts w:ascii="Arial" w:hAnsi="Arial" w:cs="Arial"/>
        </w:rPr>
        <w:t>) of literature</w:t>
      </w:r>
    </w:p>
    <w:tbl>
      <w:tblPr>
        <w:tblW w:w="8375" w:type="dxa"/>
        <w:tblInd w:w="93" w:type="dxa"/>
        <w:tblLook w:val="04A0" w:firstRow="1" w:lastRow="0" w:firstColumn="1" w:lastColumn="0" w:noHBand="0" w:noVBand="1"/>
      </w:tblPr>
      <w:tblGrid>
        <w:gridCol w:w="1575"/>
        <w:gridCol w:w="1160"/>
        <w:gridCol w:w="1017"/>
        <w:gridCol w:w="1083"/>
        <w:gridCol w:w="1160"/>
        <w:gridCol w:w="1120"/>
        <w:gridCol w:w="1260"/>
      </w:tblGrid>
      <w:tr w:rsidR="00CD7F68" w:rsidRPr="00CD7F68" w14:paraId="0BF4717F" w14:textId="77777777" w:rsidTr="00FD34D9">
        <w:trPr>
          <w:trHeight w:val="79"/>
        </w:trPr>
        <w:tc>
          <w:tcPr>
            <w:tcW w:w="1575" w:type="dxa"/>
            <w:tcBorders>
              <w:top w:val="single" w:sz="4" w:space="0" w:color="auto"/>
              <w:left w:val="nil"/>
              <w:bottom w:val="single" w:sz="4" w:space="0" w:color="auto"/>
              <w:right w:val="nil"/>
            </w:tcBorders>
            <w:shd w:val="clear" w:color="auto" w:fill="auto"/>
            <w:vAlign w:val="center"/>
            <w:hideMark/>
          </w:tcPr>
          <w:p w14:paraId="275EC562"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Time (years)</w:t>
            </w:r>
          </w:p>
        </w:tc>
        <w:tc>
          <w:tcPr>
            <w:tcW w:w="1160" w:type="dxa"/>
            <w:tcBorders>
              <w:top w:val="single" w:sz="4" w:space="0" w:color="auto"/>
              <w:left w:val="nil"/>
              <w:bottom w:val="single" w:sz="4" w:space="0" w:color="auto"/>
              <w:right w:val="nil"/>
            </w:tcBorders>
            <w:shd w:val="clear" w:color="auto" w:fill="auto"/>
            <w:vAlign w:val="center"/>
            <w:hideMark/>
          </w:tcPr>
          <w:p w14:paraId="79C71112"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Number of Papers</w:t>
            </w:r>
          </w:p>
        </w:tc>
        <w:tc>
          <w:tcPr>
            <w:tcW w:w="1017" w:type="dxa"/>
            <w:tcBorders>
              <w:top w:val="single" w:sz="4" w:space="0" w:color="auto"/>
              <w:left w:val="nil"/>
              <w:bottom w:val="single" w:sz="4" w:space="0" w:color="auto"/>
              <w:right w:val="nil"/>
            </w:tcBorders>
            <w:shd w:val="clear" w:color="auto" w:fill="auto"/>
            <w:vAlign w:val="center"/>
            <w:hideMark/>
          </w:tcPr>
          <w:p w14:paraId="64E6E2E3"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Cum. Papers</w:t>
            </w:r>
          </w:p>
        </w:tc>
        <w:tc>
          <w:tcPr>
            <w:tcW w:w="1083" w:type="dxa"/>
            <w:tcBorders>
              <w:top w:val="single" w:sz="4" w:space="0" w:color="auto"/>
              <w:left w:val="nil"/>
              <w:bottom w:val="single" w:sz="4" w:space="0" w:color="auto"/>
              <w:right w:val="nil"/>
            </w:tcBorders>
            <w:shd w:val="clear" w:color="auto" w:fill="auto"/>
            <w:vAlign w:val="center"/>
            <w:hideMark/>
          </w:tcPr>
          <w:p w14:paraId="089B0858" w14:textId="77777777" w:rsidR="00CD7F68" w:rsidRPr="00CD7F68" w:rsidRDefault="0029021F" w:rsidP="00CD7F68">
            <w:pPr>
              <w:spacing w:line="480" w:lineRule="auto"/>
              <w:jc w:val="center"/>
              <w:rPr>
                <w:rFonts w:ascii="Arial" w:eastAsia="Times New Roman" w:hAnsi="Arial" w:cs="Arial"/>
                <w:b/>
                <w:bCs/>
                <w:color w:val="000000"/>
              </w:rPr>
            </w:pPr>
            <m:oMathPara>
              <m:oMath>
                <m:sSub>
                  <m:sSubPr>
                    <m:ctrlPr>
                      <w:rPr>
                        <w:rFonts w:ascii="Cambria Math" w:eastAsia="Times New Roman" w:hAnsi="Cambria Math" w:cs="Arial"/>
                        <w:b/>
                        <w:bCs/>
                        <w:i/>
                        <w:color w:val="000000"/>
                      </w:rPr>
                    </m:ctrlPr>
                  </m:sSubPr>
                  <m:e>
                    <m:r>
                      <m:rPr>
                        <m:sty m:val="bi"/>
                      </m:rPr>
                      <w:rPr>
                        <w:rFonts w:ascii="Cambria Math" w:eastAsia="Times New Roman" w:hAnsi="Cambria Math" w:cs="Arial"/>
                        <w:color w:val="000000"/>
                      </w:rPr>
                      <m:t>Log</m:t>
                    </m:r>
                  </m:e>
                  <m:sub>
                    <m:r>
                      <m:rPr>
                        <m:sty m:val="bi"/>
                      </m:rPr>
                      <w:rPr>
                        <w:rFonts w:ascii="Cambria Math" w:eastAsia="Times New Roman" w:hAnsi="Cambria Math" w:cs="Arial"/>
                        <w:color w:val="000000"/>
                      </w:rPr>
                      <m:t>e</m:t>
                    </m:r>
                  </m:sub>
                </m:sSub>
                <m:r>
                  <m:rPr>
                    <m:sty m:val="bi"/>
                  </m:rPr>
                  <w:rPr>
                    <w:rFonts w:ascii="Cambria Math" w:eastAsia="Times New Roman" w:hAnsi="Cambria Math" w:cs="Arial"/>
                    <w:color w:val="000000"/>
                  </w:rPr>
                  <m:t>1</m:t>
                </m:r>
                <m:r>
                  <m:rPr>
                    <m:sty m:val="bi"/>
                  </m:rPr>
                  <w:rPr>
                    <w:rFonts w:ascii="Cambria Math" w:eastAsia="Times New Roman" w:hAnsi="Cambria Math" w:cs="Arial"/>
                    <w:color w:val="000000"/>
                  </w:rPr>
                  <m:t>P</m:t>
                </m:r>
              </m:oMath>
            </m:oMathPara>
          </w:p>
        </w:tc>
        <w:tc>
          <w:tcPr>
            <w:tcW w:w="1160" w:type="dxa"/>
            <w:tcBorders>
              <w:top w:val="single" w:sz="4" w:space="0" w:color="auto"/>
              <w:left w:val="nil"/>
              <w:bottom w:val="single" w:sz="4" w:space="0" w:color="auto"/>
              <w:right w:val="nil"/>
            </w:tcBorders>
            <w:shd w:val="clear" w:color="auto" w:fill="auto"/>
            <w:vAlign w:val="center"/>
            <w:hideMark/>
          </w:tcPr>
          <w:p w14:paraId="3E9BBE55" w14:textId="77777777" w:rsidR="00CD7F68" w:rsidRPr="00CD7F68" w:rsidRDefault="0029021F" w:rsidP="00CD7F68">
            <w:pPr>
              <w:spacing w:line="480" w:lineRule="auto"/>
              <w:jc w:val="center"/>
              <w:rPr>
                <w:rFonts w:ascii="Arial" w:eastAsia="Times New Roman" w:hAnsi="Arial" w:cs="Arial"/>
                <w:b/>
                <w:bCs/>
                <w:color w:val="000000"/>
              </w:rPr>
            </w:pPr>
            <m:oMathPara>
              <m:oMath>
                <m:sSub>
                  <m:sSubPr>
                    <m:ctrlPr>
                      <w:rPr>
                        <w:rFonts w:ascii="Cambria Math" w:eastAsia="Times New Roman" w:hAnsi="Cambria Math" w:cs="Arial"/>
                        <w:b/>
                        <w:bCs/>
                        <w:i/>
                        <w:color w:val="000000"/>
                      </w:rPr>
                    </m:ctrlPr>
                  </m:sSubPr>
                  <m:e>
                    <m:r>
                      <m:rPr>
                        <m:sty m:val="bi"/>
                      </m:rPr>
                      <w:rPr>
                        <w:rFonts w:ascii="Cambria Math" w:eastAsia="Times New Roman" w:hAnsi="Cambria Math" w:cs="Arial"/>
                        <w:color w:val="000000"/>
                      </w:rPr>
                      <m:t>Log</m:t>
                    </m:r>
                  </m:e>
                  <m:sub>
                    <m:r>
                      <m:rPr>
                        <m:sty m:val="bi"/>
                      </m:rPr>
                      <w:rPr>
                        <w:rFonts w:ascii="Cambria Math" w:eastAsia="Times New Roman" w:hAnsi="Cambria Math" w:cs="Arial"/>
                        <w:color w:val="000000"/>
                      </w:rPr>
                      <m:t>e</m:t>
                    </m:r>
                  </m:sub>
                </m:sSub>
                <m:r>
                  <m:rPr>
                    <m:sty m:val="bi"/>
                  </m:rPr>
                  <w:rPr>
                    <w:rFonts w:ascii="Cambria Math" w:eastAsia="Times New Roman" w:hAnsi="Cambria Math" w:cs="Arial"/>
                    <w:color w:val="000000"/>
                  </w:rPr>
                  <m:t>2</m:t>
                </m:r>
                <m:r>
                  <m:rPr>
                    <m:sty m:val="bi"/>
                  </m:rPr>
                  <w:rPr>
                    <w:rFonts w:ascii="Cambria Math" w:eastAsia="Times New Roman" w:hAnsi="Cambria Math" w:cs="Arial"/>
                    <w:color w:val="000000"/>
                  </w:rPr>
                  <m:t>P</m:t>
                </m:r>
              </m:oMath>
            </m:oMathPara>
          </w:p>
        </w:tc>
        <w:tc>
          <w:tcPr>
            <w:tcW w:w="1120" w:type="dxa"/>
            <w:tcBorders>
              <w:top w:val="single" w:sz="4" w:space="0" w:color="auto"/>
              <w:left w:val="nil"/>
              <w:bottom w:val="single" w:sz="4" w:space="0" w:color="auto"/>
              <w:right w:val="nil"/>
            </w:tcBorders>
            <w:shd w:val="clear" w:color="auto" w:fill="auto"/>
            <w:vAlign w:val="center"/>
            <w:hideMark/>
          </w:tcPr>
          <w:p w14:paraId="77E19CB7" w14:textId="77777777" w:rsidR="00CD7F68" w:rsidRPr="00CD7F68" w:rsidRDefault="00CD7F68" w:rsidP="00CD7F68">
            <w:pPr>
              <w:spacing w:line="480" w:lineRule="auto"/>
              <w:jc w:val="center"/>
              <w:rPr>
                <w:rFonts w:ascii="Arial" w:eastAsia="Times New Roman" w:hAnsi="Arial" w:cs="Arial"/>
                <w:b/>
                <w:bCs/>
                <w:color w:val="000000"/>
              </w:rPr>
            </w:pPr>
            <w:proofErr w:type="gramStart"/>
            <w:r w:rsidRPr="00CD7F68">
              <w:rPr>
                <w:rFonts w:ascii="Arial" w:eastAsia="Times New Roman" w:hAnsi="Arial" w:cs="Arial"/>
                <w:b/>
                <w:bCs/>
                <w:color w:val="000000"/>
              </w:rPr>
              <w:t>R(</w:t>
            </w:r>
            <w:proofErr w:type="gramEnd"/>
            <w:r w:rsidRPr="00CD7F68">
              <w:rPr>
                <w:rFonts w:ascii="Arial" w:eastAsia="Times New Roman" w:hAnsi="Arial" w:cs="Arial"/>
                <w:b/>
                <w:bCs/>
                <w:color w:val="000000"/>
              </w:rPr>
              <w:t>P)</w:t>
            </w:r>
          </w:p>
        </w:tc>
        <w:tc>
          <w:tcPr>
            <w:tcW w:w="1260" w:type="dxa"/>
            <w:tcBorders>
              <w:top w:val="single" w:sz="4" w:space="0" w:color="auto"/>
              <w:left w:val="nil"/>
              <w:bottom w:val="single" w:sz="4" w:space="0" w:color="auto"/>
              <w:right w:val="nil"/>
            </w:tcBorders>
            <w:shd w:val="clear" w:color="auto" w:fill="auto"/>
            <w:vAlign w:val="center"/>
            <w:hideMark/>
          </w:tcPr>
          <w:p w14:paraId="25461084" w14:textId="77777777" w:rsidR="00CD7F68" w:rsidRPr="00CD7F68" w:rsidRDefault="00CD7F68" w:rsidP="00CD7F68">
            <w:pPr>
              <w:spacing w:line="480" w:lineRule="auto"/>
              <w:jc w:val="center"/>
              <w:rPr>
                <w:rFonts w:ascii="Arial" w:eastAsia="Times New Roman" w:hAnsi="Arial" w:cs="Arial"/>
                <w:b/>
                <w:bCs/>
                <w:color w:val="000000"/>
              </w:rPr>
            </w:pPr>
            <w:proofErr w:type="spellStart"/>
            <w:proofErr w:type="gramStart"/>
            <w:r w:rsidRPr="00CD7F68">
              <w:rPr>
                <w:rFonts w:ascii="Arial" w:eastAsia="Times New Roman" w:hAnsi="Arial" w:cs="Arial"/>
                <w:b/>
                <w:bCs/>
                <w:color w:val="000000"/>
              </w:rPr>
              <w:t>Dt</w:t>
            </w:r>
            <w:proofErr w:type="spellEnd"/>
            <w:r w:rsidRPr="00CD7F68">
              <w:rPr>
                <w:rFonts w:ascii="Arial" w:eastAsia="Times New Roman" w:hAnsi="Arial" w:cs="Arial"/>
                <w:b/>
                <w:bCs/>
                <w:color w:val="000000"/>
              </w:rPr>
              <w:t>(</w:t>
            </w:r>
            <w:proofErr w:type="gramEnd"/>
            <w:r w:rsidRPr="00CD7F68">
              <w:rPr>
                <w:rFonts w:ascii="Arial" w:eastAsia="Times New Roman" w:hAnsi="Arial" w:cs="Arial"/>
                <w:b/>
                <w:bCs/>
                <w:color w:val="000000"/>
              </w:rPr>
              <w:t>P)</w:t>
            </w:r>
          </w:p>
        </w:tc>
      </w:tr>
      <w:tr w:rsidR="00CD7F68" w:rsidRPr="00CD7F68" w14:paraId="75E905E6" w14:textId="77777777" w:rsidTr="00FD34D9">
        <w:trPr>
          <w:trHeight w:val="79"/>
        </w:trPr>
        <w:tc>
          <w:tcPr>
            <w:tcW w:w="1575" w:type="dxa"/>
            <w:tcBorders>
              <w:top w:val="single" w:sz="4" w:space="0" w:color="auto"/>
              <w:left w:val="nil"/>
              <w:bottom w:val="nil"/>
              <w:right w:val="nil"/>
            </w:tcBorders>
            <w:shd w:val="clear" w:color="auto" w:fill="auto"/>
            <w:noWrap/>
            <w:vAlign w:val="center"/>
            <w:hideMark/>
          </w:tcPr>
          <w:p w14:paraId="3BB2CAF0" w14:textId="77777777" w:rsidR="00CD7F68" w:rsidRPr="00CD7F68" w:rsidRDefault="00CD7F68" w:rsidP="00CD7F68">
            <w:pPr>
              <w:spacing w:line="480" w:lineRule="auto"/>
              <w:jc w:val="center"/>
              <w:rPr>
                <w:rFonts w:ascii="Arial" w:eastAsia="Times New Roman" w:hAnsi="Arial" w:cs="Arial"/>
                <w:bCs/>
                <w:color w:val="000000"/>
              </w:rPr>
            </w:pPr>
            <w:r w:rsidRPr="00CD7F68">
              <w:rPr>
                <w:rFonts w:ascii="Arial" w:eastAsia="Times New Roman" w:hAnsi="Arial" w:cs="Arial"/>
                <w:bCs/>
                <w:color w:val="000000"/>
              </w:rPr>
              <w:t>1993-1997</w:t>
            </w:r>
          </w:p>
        </w:tc>
        <w:tc>
          <w:tcPr>
            <w:tcW w:w="1160" w:type="dxa"/>
            <w:tcBorders>
              <w:top w:val="single" w:sz="4" w:space="0" w:color="auto"/>
              <w:left w:val="nil"/>
              <w:bottom w:val="nil"/>
              <w:right w:val="nil"/>
            </w:tcBorders>
            <w:shd w:val="clear" w:color="auto" w:fill="auto"/>
            <w:noWrap/>
            <w:vAlign w:val="center"/>
            <w:hideMark/>
          </w:tcPr>
          <w:p w14:paraId="55201CB2" w14:textId="77777777" w:rsidR="00CD7F68" w:rsidRPr="00CD7F68" w:rsidRDefault="00CD7F68" w:rsidP="00CD7F68">
            <w:pPr>
              <w:spacing w:line="480" w:lineRule="auto"/>
              <w:jc w:val="center"/>
              <w:rPr>
                <w:rFonts w:ascii="Arial" w:eastAsia="Times New Roman" w:hAnsi="Arial" w:cs="Arial"/>
                <w:bCs/>
                <w:color w:val="000000"/>
              </w:rPr>
            </w:pPr>
            <w:r w:rsidRPr="00CD7F68">
              <w:rPr>
                <w:rFonts w:ascii="Arial" w:eastAsia="Times New Roman" w:hAnsi="Arial" w:cs="Arial"/>
                <w:bCs/>
                <w:color w:val="000000"/>
              </w:rPr>
              <w:t>4</w:t>
            </w:r>
          </w:p>
        </w:tc>
        <w:tc>
          <w:tcPr>
            <w:tcW w:w="1017" w:type="dxa"/>
            <w:tcBorders>
              <w:top w:val="single" w:sz="4" w:space="0" w:color="auto"/>
              <w:left w:val="nil"/>
              <w:bottom w:val="nil"/>
              <w:right w:val="nil"/>
            </w:tcBorders>
            <w:shd w:val="clear" w:color="auto" w:fill="auto"/>
            <w:noWrap/>
            <w:vAlign w:val="center"/>
            <w:hideMark/>
          </w:tcPr>
          <w:p w14:paraId="4BF9CBC1" w14:textId="77777777" w:rsidR="00CD7F68" w:rsidRPr="00CD7F68" w:rsidRDefault="00CD7F68" w:rsidP="00CD7F68">
            <w:pPr>
              <w:spacing w:line="480" w:lineRule="auto"/>
              <w:jc w:val="center"/>
              <w:rPr>
                <w:rFonts w:ascii="Arial" w:eastAsia="Times New Roman" w:hAnsi="Arial" w:cs="Arial"/>
                <w:bCs/>
                <w:color w:val="000000"/>
              </w:rPr>
            </w:pPr>
            <w:r w:rsidRPr="00CD7F68">
              <w:rPr>
                <w:rFonts w:ascii="Arial" w:eastAsia="Times New Roman" w:hAnsi="Arial" w:cs="Arial"/>
                <w:bCs/>
                <w:color w:val="000000"/>
              </w:rPr>
              <w:t>4</w:t>
            </w:r>
          </w:p>
        </w:tc>
        <w:tc>
          <w:tcPr>
            <w:tcW w:w="1083" w:type="dxa"/>
            <w:tcBorders>
              <w:top w:val="single" w:sz="4" w:space="0" w:color="auto"/>
              <w:left w:val="nil"/>
              <w:bottom w:val="nil"/>
              <w:right w:val="nil"/>
            </w:tcBorders>
            <w:shd w:val="clear" w:color="auto" w:fill="auto"/>
            <w:noWrap/>
            <w:vAlign w:val="center"/>
            <w:hideMark/>
          </w:tcPr>
          <w:p w14:paraId="490A84F4" w14:textId="77777777" w:rsidR="00CD7F68" w:rsidRPr="00CD7F68" w:rsidRDefault="00CD7F68" w:rsidP="00CD7F68">
            <w:pPr>
              <w:spacing w:line="480" w:lineRule="auto"/>
              <w:jc w:val="center"/>
              <w:rPr>
                <w:rFonts w:ascii="Arial" w:eastAsia="Times New Roman" w:hAnsi="Arial" w:cs="Arial"/>
                <w:bCs/>
                <w:color w:val="000000"/>
              </w:rPr>
            </w:pPr>
          </w:p>
        </w:tc>
        <w:tc>
          <w:tcPr>
            <w:tcW w:w="1160" w:type="dxa"/>
            <w:tcBorders>
              <w:top w:val="single" w:sz="4" w:space="0" w:color="auto"/>
              <w:left w:val="nil"/>
              <w:bottom w:val="nil"/>
              <w:right w:val="nil"/>
            </w:tcBorders>
            <w:shd w:val="clear" w:color="auto" w:fill="auto"/>
            <w:noWrap/>
            <w:vAlign w:val="center"/>
            <w:hideMark/>
          </w:tcPr>
          <w:p w14:paraId="339B5650" w14:textId="77777777" w:rsidR="00CD7F68" w:rsidRPr="00CD7F68" w:rsidRDefault="00CD7F68" w:rsidP="00CD7F68">
            <w:pPr>
              <w:spacing w:line="480" w:lineRule="auto"/>
              <w:jc w:val="center"/>
              <w:rPr>
                <w:rFonts w:ascii="Arial" w:eastAsia="Times New Roman" w:hAnsi="Arial" w:cs="Arial"/>
                <w:bCs/>
                <w:color w:val="000000"/>
              </w:rPr>
            </w:pPr>
            <w:r w:rsidRPr="00CD7F68">
              <w:rPr>
                <w:rFonts w:ascii="Arial" w:eastAsia="Times New Roman" w:hAnsi="Arial" w:cs="Arial"/>
                <w:bCs/>
                <w:color w:val="000000"/>
              </w:rPr>
              <w:t>1.39</w:t>
            </w:r>
          </w:p>
        </w:tc>
        <w:tc>
          <w:tcPr>
            <w:tcW w:w="1120" w:type="dxa"/>
            <w:tcBorders>
              <w:top w:val="single" w:sz="4" w:space="0" w:color="auto"/>
              <w:left w:val="nil"/>
              <w:bottom w:val="nil"/>
              <w:right w:val="nil"/>
            </w:tcBorders>
            <w:shd w:val="clear" w:color="auto" w:fill="auto"/>
            <w:noWrap/>
            <w:vAlign w:val="center"/>
            <w:hideMark/>
          </w:tcPr>
          <w:p w14:paraId="694B1473" w14:textId="77777777" w:rsidR="00CD7F68" w:rsidRPr="00CD7F68" w:rsidRDefault="00CD7F68" w:rsidP="00CD7F68">
            <w:pPr>
              <w:spacing w:line="480" w:lineRule="auto"/>
              <w:jc w:val="center"/>
              <w:rPr>
                <w:rFonts w:ascii="Arial" w:eastAsia="Times New Roman" w:hAnsi="Arial" w:cs="Arial"/>
                <w:bCs/>
                <w:color w:val="000000"/>
              </w:rPr>
            </w:pPr>
          </w:p>
        </w:tc>
        <w:tc>
          <w:tcPr>
            <w:tcW w:w="1260" w:type="dxa"/>
            <w:tcBorders>
              <w:top w:val="single" w:sz="4" w:space="0" w:color="auto"/>
              <w:left w:val="nil"/>
              <w:bottom w:val="nil"/>
              <w:right w:val="nil"/>
            </w:tcBorders>
            <w:shd w:val="clear" w:color="auto" w:fill="auto"/>
            <w:noWrap/>
            <w:vAlign w:val="center"/>
            <w:hideMark/>
          </w:tcPr>
          <w:p w14:paraId="005C745F" w14:textId="77777777" w:rsidR="00CD7F68" w:rsidRPr="00CD7F68" w:rsidRDefault="00CD7F68" w:rsidP="00CD7F68">
            <w:pPr>
              <w:spacing w:line="480" w:lineRule="auto"/>
              <w:jc w:val="center"/>
              <w:rPr>
                <w:rFonts w:ascii="Arial" w:eastAsia="Times New Roman" w:hAnsi="Arial" w:cs="Arial"/>
                <w:bCs/>
                <w:color w:val="000000"/>
              </w:rPr>
            </w:pPr>
          </w:p>
        </w:tc>
      </w:tr>
      <w:tr w:rsidR="00CD7F68" w:rsidRPr="00CD7F68" w14:paraId="3FCA2A34" w14:textId="77777777" w:rsidTr="00FD34D9">
        <w:trPr>
          <w:trHeight w:val="89"/>
        </w:trPr>
        <w:tc>
          <w:tcPr>
            <w:tcW w:w="1575" w:type="dxa"/>
            <w:tcBorders>
              <w:top w:val="nil"/>
              <w:left w:val="nil"/>
              <w:bottom w:val="nil"/>
              <w:right w:val="nil"/>
            </w:tcBorders>
            <w:shd w:val="clear" w:color="auto" w:fill="auto"/>
            <w:noWrap/>
            <w:vAlign w:val="bottom"/>
            <w:hideMark/>
          </w:tcPr>
          <w:p w14:paraId="07943AE7"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1998-2002</w:t>
            </w:r>
          </w:p>
        </w:tc>
        <w:tc>
          <w:tcPr>
            <w:tcW w:w="1160" w:type="dxa"/>
            <w:tcBorders>
              <w:top w:val="nil"/>
              <w:left w:val="nil"/>
              <w:bottom w:val="nil"/>
              <w:right w:val="nil"/>
            </w:tcBorders>
            <w:shd w:val="clear" w:color="auto" w:fill="auto"/>
            <w:noWrap/>
            <w:vAlign w:val="bottom"/>
            <w:hideMark/>
          </w:tcPr>
          <w:p w14:paraId="5CA45275"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19</w:t>
            </w:r>
          </w:p>
        </w:tc>
        <w:tc>
          <w:tcPr>
            <w:tcW w:w="1017" w:type="dxa"/>
            <w:tcBorders>
              <w:top w:val="nil"/>
              <w:left w:val="nil"/>
              <w:bottom w:val="nil"/>
              <w:right w:val="nil"/>
            </w:tcBorders>
            <w:shd w:val="clear" w:color="auto" w:fill="auto"/>
            <w:noWrap/>
            <w:vAlign w:val="bottom"/>
            <w:hideMark/>
          </w:tcPr>
          <w:p w14:paraId="26FC4898"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23</w:t>
            </w:r>
          </w:p>
        </w:tc>
        <w:tc>
          <w:tcPr>
            <w:tcW w:w="1083" w:type="dxa"/>
            <w:tcBorders>
              <w:top w:val="nil"/>
              <w:left w:val="nil"/>
              <w:bottom w:val="nil"/>
              <w:right w:val="nil"/>
            </w:tcBorders>
            <w:shd w:val="clear" w:color="auto" w:fill="auto"/>
            <w:noWrap/>
            <w:vAlign w:val="bottom"/>
            <w:hideMark/>
          </w:tcPr>
          <w:p w14:paraId="3779ACE3"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1.39</w:t>
            </w:r>
          </w:p>
        </w:tc>
        <w:tc>
          <w:tcPr>
            <w:tcW w:w="1160" w:type="dxa"/>
            <w:tcBorders>
              <w:top w:val="nil"/>
              <w:left w:val="nil"/>
              <w:bottom w:val="nil"/>
              <w:right w:val="nil"/>
            </w:tcBorders>
            <w:shd w:val="clear" w:color="auto" w:fill="auto"/>
            <w:noWrap/>
            <w:vAlign w:val="bottom"/>
            <w:hideMark/>
          </w:tcPr>
          <w:p w14:paraId="51EA46BF"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3.14</w:t>
            </w:r>
          </w:p>
        </w:tc>
        <w:tc>
          <w:tcPr>
            <w:tcW w:w="1120" w:type="dxa"/>
            <w:tcBorders>
              <w:top w:val="nil"/>
              <w:left w:val="nil"/>
              <w:bottom w:val="nil"/>
              <w:right w:val="nil"/>
            </w:tcBorders>
            <w:shd w:val="clear" w:color="auto" w:fill="auto"/>
            <w:noWrap/>
            <w:vAlign w:val="bottom"/>
            <w:hideMark/>
          </w:tcPr>
          <w:p w14:paraId="23A8F5C4"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1.75</w:t>
            </w:r>
          </w:p>
        </w:tc>
        <w:tc>
          <w:tcPr>
            <w:tcW w:w="1260" w:type="dxa"/>
            <w:tcBorders>
              <w:top w:val="nil"/>
              <w:left w:val="nil"/>
              <w:bottom w:val="nil"/>
              <w:right w:val="nil"/>
            </w:tcBorders>
            <w:shd w:val="clear" w:color="auto" w:fill="auto"/>
            <w:noWrap/>
            <w:vAlign w:val="bottom"/>
            <w:hideMark/>
          </w:tcPr>
          <w:p w14:paraId="23E914A8"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0.40</w:t>
            </w:r>
          </w:p>
        </w:tc>
      </w:tr>
      <w:tr w:rsidR="00CD7F68" w:rsidRPr="00CD7F68" w14:paraId="49321B1D" w14:textId="77777777" w:rsidTr="00FD34D9">
        <w:trPr>
          <w:trHeight w:val="89"/>
        </w:trPr>
        <w:tc>
          <w:tcPr>
            <w:tcW w:w="1575" w:type="dxa"/>
            <w:tcBorders>
              <w:top w:val="nil"/>
              <w:left w:val="nil"/>
              <w:bottom w:val="nil"/>
              <w:right w:val="nil"/>
            </w:tcBorders>
            <w:shd w:val="clear" w:color="auto" w:fill="auto"/>
            <w:noWrap/>
            <w:vAlign w:val="bottom"/>
            <w:hideMark/>
          </w:tcPr>
          <w:p w14:paraId="49C1D712"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2003-2007</w:t>
            </w:r>
          </w:p>
        </w:tc>
        <w:tc>
          <w:tcPr>
            <w:tcW w:w="1160" w:type="dxa"/>
            <w:tcBorders>
              <w:top w:val="nil"/>
              <w:left w:val="nil"/>
              <w:bottom w:val="nil"/>
              <w:right w:val="nil"/>
            </w:tcBorders>
            <w:shd w:val="clear" w:color="auto" w:fill="auto"/>
            <w:noWrap/>
            <w:vAlign w:val="bottom"/>
            <w:hideMark/>
          </w:tcPr>
          <w:p w14:paraId="2C64A0A3"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22</w:t>
            </w:r>
          </w:p>
        </w:tc>
        <w:tc>
          <w:tcPr>
            <w:tcW w:w="1017" w:type="dxa"/>
            <w:tcBorders>
              <w:top w:val="nil"/>
              <w:left w:val="nil"/>
              <w:bottom w:val="nil"/>
              <w:right w:val="nil"/>
            </w:tcBorders>
            <w:shd w:val="clear" w:color="auto" w:fill="auto"/>
            <w:noWrap/>
            <w:vAlign w:val="bottom"/>
            <w:hideMark/>
          </w:tcPr>
          <w:p w14:paraId="2B73518D"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45</w:t>
            </w:r>
          </w:p>
        </w:tc>
        <w:tc>
          <w:tcPr>
            <w:tcW w:w="1083" w:type="dxa"/>
            <w:tcBorders>
              <w:top w:val="nil"/>
              <w:left w:val="nil"/>
              <w:bottom w:val="nil"/>
              <w:right w:val="nil"/>
            </w:tcBorders>
            <w:shd w:val="clear" w:color="auto" w:fill="auto"/>
            <w:noWrap/>
            <w:vAlign w:val="bottom"/>
            <w:hideMark/>
          </w:tcPr>
          <w:p w14:paraId="020C5AE1"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3.14</w:t>
            </w:r>
          </w:p>
        </w:tc>
        <w:tc>
          <w:tcPr>
            <w:tcW w:w="1160" w:type="dxa"/>
            <w:tcBorders>
              <w:top w:val="nil"/>
              <w:left w:val="nil"/>
              <w:bottom w:val="nil"/>
              <w:right w:val="nil"/>
            </w:tcBorders>
            <w:shd w:val="clear" w:color="auto" w:fill="auto"/>
            <w:noWrap/>
            <w:vAlign w:val="bottom"/>
            <w:hideMark/>
          </w:tcPr>
          <w:p w14:paraId="2F07163F"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3.81</w:t>
            </w:r>
          </w:p>
        </w:tc>
        <w:tc>
          <w:tcPr>
            <w:tcW w:w="1120" w:type="dxa"/>
            <w:tcBorders>
              <w:top w:val="nil"/>
              <w:left w:val="nil"/>
              <w:bottom w:val="nil"/>
              <w:right w:val="nil"/>
            </w:tcBorders>
            <w:shd w:val="clear" w:color="auto" w:fill="auto"/>
            <w:noWrap/>
            <w:vAlign w:val="bottom"/>
            <w:hideMark/>
          </w:tcPr>
          <w:p w14:paraId="3DED44AF"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0.67</w:t>
            </w:r>
          </w:p>
        </w:tc>
        <w:tc>
          <w:tcPr>
            <w:tcW w:w="1260" w:type="dxa"/>
            <w:tcBorders>
              <w:top w:val="nil"/>
              <w:left w:val="nil"/>
              <w:bottom w:val="nil"/>
              <w:right w:val="nil"/>
            </w:tcBorders>
            <w:shd w:val="clear" w:color="auto" w:fill="auto"/>
            <w:noWrap/>
            <w:vAlign w:val="bottom"/>
            <w:hideMark/>
          </w:tcPr>
          <w:p w14:paraId="5270B73A"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1.03</w:t>
            </w:r>
          </w:p>
        </w:tc>
      </w:tr>
      <w:tr w:rsidR="00CD7F68" w:rsidRPr="00CD7F68" w14:paraId="5F301CBE" w14:textId="77777777" w:rsidTr="00FD34D9">
        <w:trPr>
          <w:trHeight w:val="89"/>
        </w:trPr>
        <w:tc>
          <w:tcPr>
            <w:tcW w:w="1575" w:type="dxa"/>
            <w:tcBorders>
              <w:top w:val="nil"/>
              <w:left w:val="nil"/>
              <w:right w:val="nil"/>
            </w:tcBorders>
            <w:shd w:val="clear" w:color="auto" w:fill="auto"/>
            <w:noWrap/>
            <w:vAlign w:val="bottom"/>
            <w:hideMark/>
          </w:tcPr>
          <w:p w14:paraId="224708B8"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2008-2012</w:t>
            </w:r>
          </w:p>
        </w:tc>
        <w:tc>
          <w:tcPr>
            <w:tcW w:w="1160" w:type="dxa"/>
            <w:tcBorders>
              <w:top w:val="nil"/>
              <w:left w:val="nil"/>
              <w:right w:val="nil"/>
            </w:tcBorders>
            <w:shd w:val="clear" w:color="auto" w:fill="auto"/>
            <w:noWrap/>
            <w:vAlign w:val="bottom"/>
            <w:hideMark/>
          </w:tcPr>
          <w:p w14:paraId="1A2644E0"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36</w:t>
            </w:r>
          </w:p>
        </w:tc>
        <w:tc>
          <w:tcPr>
            <w:tcW w:w="1017" w:type="dxa"/>
            <w:tcBorders>
              <w:top w:val="nil"/>
              <w:left w:val="nil"/>
              <w:right w:val="nil"/>
            </w:tcBorders>
            <w:shd w:val="clear" w:color="auto" w:fill="auto"/>
            <w:noWrap/>
            <w:vAlign w:val="bottom"/>
            <w:hideMark/>
          </w:tcPr>
          <w:p w14:paraId="492D0A89"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81</w:t>
            </w:r>
          </w:p>
        </w:tc>
        <w:tc>
          <w:tcPr>
            <w:tcW w:w="1083" w:type="dxa"/>
            <w:tcBorders>
              <w:top w:val="nil"/>
              <w:left w:val="nil"/>
              <w:right w:val="nil"/>
            </w:tcBorders>
            <w:shd w:val="clear" w:color="auto" w:fill="auto"/>
            <w:noWrap/>
            <w:vAlign w:val="bottom"/>
            <w:hideMark/>
          </w:tcPr>
          <w:p w14:paraId="5FF9F658"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3.81</w:t>
            </w:r>
          </w:p>
        </w:tc>
        <w:tc>
          <w:tcPr>
            <w:tcW w:w="1160" w:type="dxa"/>
            <w:tcBorders>
              <w:top w:val="nil"/>
              <w:left w:val="nil"/>
              <w:right w:val="nil"/>
            </w:tcBorders>
            <w:shd w:val="clear" w:color="auto" w:fill="auto"/>
            <w:noWrap/>
            <w:vAlign w:val="bottom"/>
            <w:hideMark/>
          </w:tcPr>
          <w:p w14:paraId="136C803D"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4.39</w:t>
            </w:r>
          </w:p>
        </w:tc>
        <w:tc>
          <w:tcPr>
            <w:tcW w:w="1120" w:type="dxa"/>
            <w:tcBorders>
              <w:top w:val="nil"/>
              <w:left w:val="nil"/>
              <w:right w:val="nil"/>
            </w:tcBorders>
            <w:shd w:val="clear" w:color="auto" w:fill="auto"/>
            <w:noWrap/>
            <w:vAlign w:val="bottom"/>
            <w:hideMark/>
          </w:tcPr>
          <w:p w14:paraId="448057B6"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0.59</w:t>
            </w:r>
          </w:p>
        </w:tc>
        <w:tc>
          <w:tcPr>
            <w:tcW w:w="1260" w:type="dxa"/>
            <w:tcBorders>
              <w:top w:val="nil"/>
              <w:left w:val="nil"/>
              <w:right w:val="nil"/>
            </w:tcBorders>
            <w:shd w:val="clear" w:color="auto" w:fill="auto"/>
            <w:noWrap/>
            <w:vAlign w:val="bottom"/>
            <w:hideMark/>
          </w:tcPr>
          <w:p w14:paraId="0AB1B9C3"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1.18</w:t>
            </w:r>
          </w:p>
        </w:tc>
      </w:tr>
      <w:tr w:rsidR="00CD7F68" w:rsidRPr="00CD7F68" w14:paraId="7D724EB2" w14:textId="77777777" w:rsidTr="00FD34D9">
        <w:trPr>
          <w:trHeight w:val="89"/>
        </w:trPr>
        <w:tc>
          <w:tcPr>
            <w:tcW w:w="1575" w:type="dxa"/>
            <w:tcBorders>
              <w:top w:val="nil"/>
              <w:left w:val="nil"/>
              <w:bottom w:val="single" w:sz="4" w:space="0" w:color="auto"/>
              <w:right w:val="nil"/>
            </w:tcBorders>
            <w:shd w:val="clear" w:color="auto" w:fill="auto"/>
            <w:noWrap/>
            <w:vAlign w:val="bottom"/>
            <w:hideMark/>
          </w:tcPr>
          <w:p w14:paraId="53CB99FC"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2013-2014</w:t>
            </w:r>
          </w:p>
        </w:tc>
        <w:tc>
          <w:tcPr>
            <w:tcW w:w="1160" w:type="dxa"/>
            <w:tcBorders>
              <w:top w:val="nil"/>
              <w:left w:val="nil"/>
              <w:bottom w:val="single" w:sz="4" w:space="0" w:color="auto"/>
              <w:right w:val="nil"/>
            </w:tcBorders>
            <w:shd w:val="clear" w:color="auto" w:fill="auto"/>
            <w:noWrap/>
            <w:vAlign w:val="bottom"/>
            <w:hideMark/>
          </w:tcPr>
          <w:p w14:paraId="44DF4724"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13</w:t>
            </w:r>
          </w:p>
        </w:tc>
        <w:tc>
          <w:tcPr>
            <w:tcW w:w="1017" w:type="dxa"/>
            <w:tcBorders>
              <w:top w:val="nil"/>
              <w:left w:val="nil"/>
              <w:bottom w:val="single" w:sz="4" w:space="0" w:color="auto"/>
              <w:right w:val="nil"/>
            </w:tcBorders>
            <w:shd w:val="clear" w:color="auto" w:fill="auto"/>
            <w:noWrap/>
            <w:vAlign w:val="bottom"/>
            <w:hideMark/>
          </w:tcPr>
          <w:p w14:paraId="44B90DD0"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94</w:t>
            </w:r>
          </w:p>
        </w:tc>
        <w:tc>
          <w:tcPr>
            <w:tcW w:w="1083" w:type="dxa"/>
            <w:tcBorders>
              <w:top w:val="nil"/>
              <w:left w:val="nil"/>
              <w:bottom w:val="single" w:sz="4" w:space="0" w:color="auto"/>
              <w:right w:val="nil"/>
            </w:tcBorders>
            <w:shd w:val="clear" w:color="auto" w:fill="auto"/>
            <w:noWrap/>
            <w:vAlign w:val="bottom"/>
            <w:hideMark/>
          </w:tcPr>
          <w:p w14:paraId="0A53C752"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4.39</w:t>
            </w:r>
          </w:p>
        </w:tc>
        <w:tc>
          <w:tcPr>
            <w:tcW w:w="1160" w:type="dxa"/>
            <w:tcBorders>
              <w:top w:val="nil"/>
              <w:left w:val="nil"/>
              <w:bottom w:val="single" w:sz="4" w:space="0" w:color="auto"/>
              <w:right w:val="nil"/>
            </w:tcBorders>
            <w:shd w:val="clear" w:color="auto" w:fill="auto"/>
            <w:noWrap/>
            <w:vAlign w:val="bottom"/>
            <w:hideMark/>
          </w:tcPr>
          <w:p w14:paraId="4B1257B3"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4.54</w:t>
            </w:r>
          </w:p>
        </w:tc>
        <w:tc>
          <w:tcPr>
            <w:tcW w:w="1120" w:type="dxa"/>
            <w:tcBorders>
              <w:top w:val="nil"/>
              <w:left w:val="nil"/>
              <w:bottom w:val="single" w:sz="4" w:space="0" w:color="auto"/>
              <w:right w:val="nil"/>
            </w:tcBorders>
            <w:shd w:val="clear" w:color="auto" w:fill="auto"/>
            <w:noWrap/>
            <w:vAlign w:val="bottom"/>
            <w:hideMark/>
          </w:tcPr>
          <w:p w14:paraId="19BB4FBD"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0.15</w:t>
            </w:r>
          </w:p>
        </w:tc>
        <w:tc>
          <w:tcPr>
            <w:tcW w:w="1260" w:type="dxa"/>
            <w:tcBorders>
              <w:top w:val="nil"/>
              <w:left w:val="nil"/>
              <w:bottom w:val="single" w:sz="4" w:space="0" w:color="auto"/>
              <w:right w:val="nil"/>
            </w:tcBorders>
            <w:shd w:val="clear" w:color="auto" w:fill="auto"/>
            <w:noWrap/>
            <w:vAlign w:val="bottom"/>
            <w:hideMark/>
          </w:tcPr>
          <w:p w14:paraId="41EEB3BE" w14:textId="77777777" w:rsidR="00CD7F68" w:rsidRPr="00CD7F68" w:rsidRDefault="00CD7F68" w:rsidP="00CD7F68">
            <w:pPr>
              <w:spacing w:line="480" w:lineRule="auto"/>
              <w:jc w:val="center"/>
              <w:rPr>
                <w:rFonts w:ascii="Arial" w:eastAsia="Times New Roman" w:hAnsi="Arial" w:cs="Arial"/>
                <w:color w:val="000000"/>
              </w:rPr>
            </w:pPr>
            <w:r w:rsidRPr="00CD7F68">
              <w:rPr>
                <w:rFonts w:ascii="Arial" w:eastAsia="Times New Roman" w:hAnsi="Arial" w:cs="Arial"/>
                <w:color w:val="000000"/>
              </w:rPr>
              <w:t>4.66</w:t>
            </w:r>
          </w:p>
        </w:tc>
      </w:tr>
    </w:tbl>
    <w:p w14:paraId="5D83072A" w14:textId="77777777" w:rsidR="00CD7F68" w:rsidRPr="00CD7F68" w:rsidRDefault="00CD7F68" w:rsidP="00CD7F68">
      <w:pPr>
        <w:spacing w:line="480" w:lineRule="auto"/>
        <w:rPr>
          <w:rFonts w:ascii="Arial" w:hAnsi="Arial" w:cs="Arial"/>
          <w:color w:val="000000" w:themeColor="text1"/>
        </w:rPr>
      </w:pPr>
    </w:p>
    <w:p w14:paraId="32BFB387" w14:textId="77777777" w:rsidR="00CD7F68" w:rsidRPr="00CD7F68" w:rsidRDefault="00CD7F68" w:rsidP="00CD7F68">
      <w:pPr>
        <w:spacing w:line="480" w:lineRule="auto"/>
        <w:rPr>
          <w:rFonts w:ascii="Arial" w:hAnsi="Arial" w:cs="Arial"/>
        </w:rPr>
      </w:pPr>
      <w:r w:rsidRPr="00CD7F68">
        <w:rPr>
          <w:rFonts w:ascii="Arial" w:hAnsi="Arial" w:cs="Arial"/>
          <w:b/>
          <w:color w:val="000000" w:themeColor="text1"/>
        </w:rPr>
        <w:t>Supplementary Table S3</w:t>
      </w:r>
      <w:r w:rsidRPr="00CD7F68">
        <w:rPr>
          <w:rFonts w:ascii="Arial" w:hAnsi="Arial" w:cs="Arial"/>
          <w:color w:val="000000" w:themeColor="text1"/>
        </w:rPr>
        <w:t xml:space="preserve">: </w:t>
      </w:r>
      <w:r w:rsidRPr="00CD7F68">
        <w:rPr>
          <w:rFonts w:ascii="Arial" w:hAnsi="Arial" w:cs="Arial"/>
        </w:rPr>
        <w:t>Collaborative coefficient</w:t>
      </w:r>
    </w:p>
    <w:tbl>
      <w:tblPr>
        <w:tblW w:w="8520" w:type="dxa"/>
        <w:tblInd w:w="93" w:type="dxa"/>
        <w:tblLook w:val="04A0" w:firstRow="1" w:lastRow="0" w:firstColumn="1" w:lastColumn="0" w:noHBand="0" w:noVBand="1"/>
      </w:tblPr>
      <w:tblGrid>
        <w:gridCol w:w="1433"/>
        <w:gridCol w:w="937"/>
        <w:gridCol w:w="697"/>
        <w:gridCol w:w="1484"/>
        <w:gridCol w:w="1418"/>
        <w:gridCol w:w="660"/>
        <w:gridCol w:w="931"/>
        <w:gridCol w:w="960"/>
      </w:tblGrid>
      <w:tr w:rsidR="00CD7F68" w:rsidRPr="00CD7F68" w14:paraId="320849D0" w14:textId="77777777" w:rsidTr="00CD7F68">
        <w:trPr>
          <w:trHeight w:val="457"/>
        </w:trPr>
        <w:tc>
          <w:tcPr>
            <w:tcW w:w="1433" w:type="dxa"/>
            <w:tcBorders>
              <w:top w:val="single" w:sz="4" w:space="0" w:color="auto"/>
              <w:left w:val="nil"/>
              <w:bottom w:val="single" w:sz="4" w:space="0" w:color="auto"/>
              <w:right w:val="nil"/>
            </w:tcBorders>
            <w:shd w:val="clear" w:color="auto" w:fill="auto"/>
            <w:vAlign w:val="center"/>
            <w:hideMark/>
          </w:tcPr>
          <w:p w14:paraId="7F571FD7"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Time (years)</w:t>
            </w:r>
          </w:p>
        </w:tc>
        <w:tc>
          <w:tcPr>
            <w:tcW w:w="937" w:type="dxa"/>
            <w:tcBorders>
              <w:top w:val="single" w:sz="4" w:space="0" w:color="auto"/>
              <w:left w:val="nil"/>
              <w:bottom w:val="single" w:sz="4" w:space="0" w:color="auto"/>
              <w:right w:val="nil"/>
            </w:tcBorders>
            <w:shd w:val="clear" w:color="auto" w:fill="auto"/>
            <w:noWrap/>
            <w:vAlign w:val="center"/>
            <w:hideMark/>
          </w:tcPr>
          <w:p w14:paraId="4C6D7BF2"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Single</w:t>
            </w:r>
          </w:p>
        </w:tc>
        <w:tc>
          <w:tcPr>
            <w:tcW w:w="697" w:type="dxa"/>
            <w:tcBorders>
              <w:top w:val="single" w:sz="4" w:space="0" w:color="auto"/>
              <w:left w:val="nil"/>
              <w:bottom w:val="single" w:sz="4" w:space="0" w:color="auto"/>
              <w:right w:val="nil"/>
            </w:tcBorders>
            <w:shd w:val="clear" w:color="auto" w:fill="auto"/>
            <w:noWrap/>
            <w:vAlign w:val="center"/>
            <w:hideMark/>
          </w:tcPr>
          <w:p w14:paraId="1F38C650"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Two</w:t>
            </w:r>
          </w:p>
        </w:tc>
        <w:tc>
          <w:tcPr>
            <w:tcW w:w="1484" w:type="dxa"/>
            <w:tcBorders>
              <w:top w:val="single" w:sz="4" w:space="0" w:color="auto"/>
              <w:left w:val="nil"/>
              <w:bottom w:val="single" w:sz="4" w:space="0" w:color="auto"/>
              <w:right w:val="nil"/>
            </w:tcBorders>
            <w:shd w:val="clear" w:color="auto" w:fill="auto"/>
            <w:vAlign w:val="center"/>
            <w:hideMark/>
          </w:tcPr>
          <w:p w14:paraId="601CA4E8"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Multi (3-6)</w:t>
            </w:r>
          </w:p>
        </w:tc>
        <w:tc>
          <w:tcPr>
            <w:tcW w:w="1418" w:type="dxa"/>
            <w:tcBorders>
              <w:top w:val="single" w:sz="4" w:space="0" w:color="auto"/>
              <w:left w:val="nil"/>
              <w:bottom w:val="single" w:sz="4" w:space="0" w:color="auto"/>
              <w:right w:val="nil"/>
            </w:tcBorders>
            <w:shd w:val="clear" w:color="auto" w:fill="auto"/>
            <w:vAlign w:val="center"/>
            <w:hideMark/>
          </w:tcPr>
          <w:p w14:paraId="45EF3AD0"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Mega (7-9)</w:t>
            </w:r>
          </w:p>
        </w:tc>
        <w:tc>
          <w:tcPr>
            <w:tcW w:w="660" w:type="dxa"/>
            <w:tcBorders>
              <w:top w:val="single" w:sz="4" w:space="0" w:color="auto"/>
              <w:left w:val="nil"/>
              <w:bottom w:val="single" w:sz="4" w:space="0" w:color="auto"/>
              <w:right w:val="nil"/>
            </w:tcBorders>
            <w:shd w:val="clear" w:color="auto" w:fill="auto"/>
            <w:noWrap/>
            <w:vAlign w:val="center"/>
            <w:hideMark/>
          </w:tcPr>
          <w:p w14:paraId="05B011F0" w14:textId="3690CF28" w:rsidR="00CD7F68" w:rsidRPr="00CD7F68" w:rsidRDefault="00CD7F68" w:rsidP="00CD7F68">
            <w:pPr>
              <w:spacing w:line="480" w:lineRule="auto"/>
              <w:jc w:val="center"/>
              <w:rPr>
                <w:rFonts w:ascii="Arial" w:eastAsia="Times New Roman" w:hAnsi="Arial" w:cs="Arial"/>
                <w:b/>
                <w:bCs/>
                <w:color w:val="000000"/>
              </w:rPr>
            </w:pPr>
            <w:r>
              <w:rPr>
                <w:rFonts w:ascii="Arial" w:eastAsia="Times New Roman" w:hAnsi="Arial" w:cs="Arial"/>
                <w:b/>
                <w:bCs/>
                <w:color w:val="000000"/>
              </w:rPr>
              <w:t>10</w:t>
            </w:r>
            <w:r w:rsidRPr="00CD7F68">
              <w:rPr>
                <w:rFonts w:ascii="Arial" w:eastAsia="Times New Roman" w:hAnsi="Arial" w:cs="Arial"/>
                <w:b/>
                <w:bCs/>
                <w:color w:val="000000"/>
              </w:rPr>
              <w:t>+</w:t>
            </w:r>
          </w:p>
        </w:tc>
        <w:tc>
          <w:tcPr>
            <w:tcW w:w="931" w:type="dxa"/>
            <w:tcBorders>
              <w:top w:val="single" w:sz="4" w:space="0" w:color="auto"/>
              <w:left w:val="nil"/>
              <w:bottom w:val="single" w:sz="4" w:space="0" w:color="auto"/>
              <w:right w:val="nil"/>
            </w:tcBorders>
            <w:shd w:val="clear" w:color="auto" w:fill="auto"/>
            <w:noWrap/>
            <w:vAlign w:val="center"/>
            <w:hideMark/>
          </w:tcPr>
          <w:p w14:paraId="4EACC588"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Total</w:t>
            </w:r>
          </w:p>
        </w:tc>
        <w:tc>
          <w:tcPr>
            <w:tcW w:w="960" w:type="dxa"/>
            <w:tcBorders>
              <w:top w:val="single" w:sz="4" w:space="0" w:color="auto"/>
              <w:left w:val="nil"/>
              <w:bottom w:val="single" w:sz="4" w:space="0" w:color="auto"/>
              <w:right w:val="nil"/>
            </w:tcBorders>
            <w:shd w:val="clear" w:color="auto" w:fill="auto"/>
            <w:noWrap/>
            <w:vAlign w:val="center"/>
            <w:hideMark/>
          </w:tcPr>
          <w:p w14:paraId="5522C5BA" w14:textId="77777777" w:rsidR="00CD7F68" w:rsidRPr="00CD7F68" w:rsidRDefault="00CD7F68" w:rsidP="00CD7F68">
            <w:pPr>
              <w:spacing w:line="480" w:lineRule="auto"/>
              <w:jc w:val="center"/>
              <w:rPr>
                <w:rFonts w:ascii="Arial" w:eastAsia="Times New Roman" w:hAnsi="Arial" w:cs="Arial"/>
                <w:b/>
                <w:bCs/>
                <w:color w:val="000000"/>
              </w:rPr>
            </w:pPr>
            <w:r w:rsidRPr="00CD7F68">
              <w:rPr>
                <w:rFonts w:ascii="Arial" w:eastAsia="Times New Roman" w:hAnsi="Arial" w:cs="Arial"/>
                <w:b/>
                <w:bCs/>
                <w:color w:val="000000"/>
              </w:rPr>
              <w:t>CC</w:t>
            </w:r>
          </w:p>
        </w:tc>
      </w:tr>
      <w:tr w:rsidR="00CD7F68" w:rsidRPr="00CD7F68" w14:paraId="2EEDD95D" w14:textId="77777777" w:rsidTr="00CD7F68">
        <w:trPr>
          <w:trHeight w:val="79"/>
        </w:trPr>
        <w:tc>
          <w:tcPr>
            <w:tcW w:w="1433" w:type="dxa"/>
            <w:tcBorders>
              <w:top w:val="single" w:sz="4" w:space="0" w:color="auto"/>
              <w:left w:val="nil"/>
              <w:bottom w:val="nil"/>
              <w:right w:val="nil"/>
            </w:tcBorders>
            <w:shd w:val="clear" w:color="auto" w:fill="auto"/>
            <w:noWrap/>
            <w:vAlign w:val="center"/>
            <w:hideMark/>
          </w:tcPr>
          <w:p w14:paraId="030470DB" w14:textId="77777777" w:rsidR="00CD7F68" w:rsidRPr="00CD7F68" w:rsidRDefault="00CD7F68" w:rsidP="00CD7F68">
            <w:pPr>
              <w:spacing w:line="480" w:lineRule="auto"/>
              <w:jc w:val="center"/>
              <w:rPr>
                <w:rFonts w:ascii="Arial" w:eastAsia="Times New Roman" w:hAnsi="Arial" w:cs="Arial"/>
                <w:bCs/>
                <w:color w:val="000000"/>
              </w:rPr>
            </w:pPr>
            <w:r w:rsidRPr="00CD7F68">
              <w:rPr>
                <w:rFonts w:ascii="Arial" w:eastAsia="Times New Roman" w:hAnsi="Arial" w:cs="Arial"/>
                <w:bCs/>
                <w:color w:val="000000"/>
              </w:rPr>
              <w:t>1993-1997</w:t>
            </w:r>
          </w:p>
        </w:tc>
        <w:tc>
          <w:tcPr>
            <w:tcW w:w="937" w:type="dxa"/>
            <w:tcBorders>
              <w:top w:val="single" w:sz="4" w:space="0" w:color="auto"/>
              <w:left w:val="nil"/>
              <w:bottom w:val="nil"/>
              <w:right w:val="nil"/>
            </w:tcBorders>
            <w:shd w:val="clear" w:color="auto" w:fill="auto"/>
            <w:noWrap/>
            <w:vAlign w:val="center"/>
            <w:hideMark/>
          </w:tcPr>
          <w:p w14:paraId="5C6A2F30"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w:t>
            </w:r>
          </w:p>
        </w:tc>
        <w:tc>
          <w:tcPr>
            <w:tcW w:w="697" w:type="dxa"/>
            <w:tcBorders>
              <w:top w:val="single" w:sz="4" w:space="0" w:color="auto"/>
              <w:left w:val="nil"/>
              <w:bottom w:val="nil"/>
              <w:right w:val="nil"/>
            </w:tcBorders>
            <w:shd w:val="clear" w:color="auto" w:fill="auto"/>
            <w:noWrap/>
            <w:vAlign w:val="center"/>
            <w:hideMark/>
          </w:tcPr>
          <w:p w14:paraId="70A13607"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w:t>
            </w:r>
          </w:p>
        </w:tc>
        <w:tc>
          <w:tcPr>
            <w:tcW w:w="1484" w:type="dxa"/>
            <w:tcBorders>
              <w:top w:val="single" w:sz="4" w:space="0" w:color="auto"/>
              <w:left w:val="nil"/>
              <w:bottom w:val="nil"/>
              <w:right w:val="nil"/>
            </w:tcBorders>
            <w:shd w:val="clear" w:color="auto" w:fill="auto"/>
            <w:vAlign w:val="center"/>
            <w:hideMark/>
          </w:tcPr>
          <w:p w14:paraId="73A2A978"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4</w:t>
            </w:r>
          </w:p>
        </w:tc>
        <w:tc>
          <w:tcPr>
            <w:tcW w:w="1418" w:type="dxa"/>
            <w:tcBorders>
              <w:top w:val="single" w:sz="4" w:space="0" w:color="auto"/>
              <w:left w:val="nil"/>
              <w:bottom w:val="nil"/>
              <w:right w:val="nil"/>
            </w:tcBorders>
            <w:shd w:val="clear" w:color="auto" w:fill="auto"/>
            <w:vAlign w:val="center"/>
            <w:hideMark/>
          </w:tcPr>
          <w:p w14:paraId="424C5568"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w:t>
            </w:r>
          </w:p>
        </w:tc>
        <w:tc>
          <w:tcPr>
            <w:tcW w:w="660" w:type="dxa"/>
            <w:tcBorders>
              <w:top w:val="single" w:sz="4" w:space="0" w:color="auto"/>
              <w:left w:val="nil"/>
              <w:bottom w:val="nil"/>
              <w:right w:val="nil"/>
            </w:tcBorders>
            <w:shd w:val="clear" w:color="auto" w:fill="auto"/>
            <w:vAlign w:val="center"/>
            <w:hideMark/>
          </w:tcPr>
          <w:p w14:paraId="05755784"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w:t>
            </w:r>
          </w:p>
        </w:tc>
        <w:tc>
          <w:tcPr>
            <w:tcW w:w="931" w:type="dxa"/>
            <w:tcBorders>
              <w:top w:val="single" w:sz="4" w:space="0" w:color="auto"/>
              <w:left w:val="nil"/>
              <w:bottom w:val="nil"/>
              <w:right w:val="nil"/>
            </w:tcBorders>
            <w:shd w:val="clear" w:color="auto" w:fill="auto"/>
            <w:vAlign w:val="center"/>
            <w:hideMark/>
          </w:tcPr>
          <w:p w14:paraId="01AB298A"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4</w:t>
            </w:r>
          </w:p>
        </w:tc>
        <w:tc>
          <w:tcPr>
            <w:tcW w:w="960" w:type="dxa"/>
            <w:tcBorders>
              <w:top w:val="single" w:sz="4" w:space="0" w:color="auto"/>
              <w:left w:val="nil"/>
              <w:bottom w:val="nil"/>
              <w:right w:val="nil"/>
            </w:tcBorders>
            <w:shd w:val="clear" w:color="auto" w:fill="auto"/>
            <w:noWrap/>
            <w:vAlign w:val="center"/>
            <w:hideMark/>
          </w:tcPr>
          <w:p w14:paraId="1E654AA8"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w:t>
            </w:r>
          </w:p>
        </w:tc>
      </w:tr>
      <w:tr w:rsidR="00CD7F68" w:rsidRPr="00CD7F68" w14:paraId="5E246F3D" w14:textId="77777777" w:rsidTr="00CD7F68">
        <w:trPr>
          <w:trHeight w:val="300"/>
        </w:trPr>
        <w:tc>
          <w:tcPr>
            <w:tcW w:w="1433" w:type="dxa"/>
            <w:tcBorders>
              <w:top w:val="nil"/>
              <w:left w:val="nil"/>
              <w:bottom w:val="nil"/>
              <w:right w:val="nil"/>
            </w:tcBorders>
            <w:shd w:val="clear" w:color="auto" w:fill="auto"/>
            <w:noWrap/>
            <w:vAlign w:val="bottom"/>
            <w:hideMark/>
          </w:tcPr>
          <w:p w14:paraId="75B89674" w14:textId="77777777" w:rsidR="00CD7F68" w:rsidRPr="00CD7F68" w:rsidRDefault="00CD7F68" w:rsidP="00CD7F68">
            <w:pPr>
              <w:spacing w:line="480" w:lineRule="auto"/>
              <w:rPr>
                <w:rFonts w:ascii="Arial" w:eastAsia="Times New Roman" w:hAnsi="Arial" w:cs="Arial"/>
                <w:bCs/>
                <w:color w:val="000000"/>
              </w:rPr>
            </w:pPr>
            <w:r w:rsidRPr="00CD7F68">
              <w:rPr>
                <w:rFonts w:ascii="Arial" w:eastAsia="Times New Roman" w:hAnsi="Arial" w:cs="Arial"/>
                <w:bCs/>
                <w:color w:val="000000"/>
              </w:rPr>
              <w:t>1998-2002</w:t>
            </w:r>
          </w:p>
        </w:tc>
        <w:tc>
          <w:tcPr>
            <w:tcW w:w="937" w:type="dxa"/>
            <w:tcBorders>
              <w:top w:val="nil"/>
              <w:left w:val="nil"/>
              <w:bottom w:val="nil"/>
              <w:right w:val="nil"/>
            </w:tcBorders>
            <w:shd w:val="clear" w:color="auto" w:fill="auto"/>
            <w:noWrap/>
            <w:vAlign w:val="bottom"/>
            <w:hideMark/>
          </w:tcPr>
          <w:p w14:paraId="4570DFE5"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3</w:t>
            </w:r>
          </w:p>
        </w:tc>
        <w:tc>
          <w:tcPr>
            <w:tcW w:w="697" w:type="dxa"/>
            <w:tcBorders>
              <w:top w:val="nil"/>
              <w:left w:val="nil"/>
              <w:bottom w:val="nil"/>
              <w:right w:val="nil"/>
            </w:tcBorders>
            <w:shd w:val="clear" w:color="auto" w:fill="auto"/>
            <w:noWrap/>
            <w:vAlign w:val="bottom"/>
            <w:hideMark/>
          </w:tcPr>
          <w:p w14:paraId="164A227F"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5</w:t>
            </w:r>
          </w:p>
        </w:tc>
        <w:tc>
          <w:tcPr>
            <w:tcW w:w="1484" w:type="dxa"/>
            <w:tcBorders>
              <w:top w:val="nil"/>
              <w:left w:val="nil"/>
              <w:bottom w:val="nil"/>
              <w:right w:val="nil"/>
            </w:tcBorders>
            <w:shd w:val="clear" w:color="auto" w:fill="auto"/>
            <w:vAlign w:val="bottom"/>
            <w:hideMark/>
          </w:tcPr>
          <w:p w14:paraId="351A0E7F"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10</w:t>
            </w:r>
          </w:p>
        </w:tc>
        <w:tc>
          <w:tcPr>
            <w:tcW w:w="1418" w:type="dxa"/>
            <w:tcBorders>
              <w:top w:val="nil"/>
              <w:left w:val="nil"/>
              <w:bottom w:val="nil"/>
              <w:right w:val="nil"/>
            </w:tcBorders>
            <w:shd w:val="clear" w:color="auto" w:fill="auto"/>
            <w:noWrap/>
            <w:vAlign w:val="bottom"/>
            <w:hideMark/>
          </w:tcPr>
          <w:p w14:paraId="43AAE5FE"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w:t>
            </w:r>
          </w:p>
        </w:tc>
        <w:tc>
          <w:tcPr>
            <w:tcW w:w="660" w:type="dxa"/>
            <w:tcBorders>
              <w:top w:val="nil"/>
              <w:left w:val="nil"/>
              <w:bottom w:val="nil"/>
              <w:right w:val="nil"/>
            </w:tcBorders>
            <w:shd w:val="clear" w:color="auto" w:fill="auto"/>
            <w:noWrap/>
            <w:vAlign w:val="bottom"/>
            <w:hideMark/>
          </w:tcPr>
          <w:p w14:paraId="0E462289"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w:t>
            </w:r>
          </w:p>
        </w:tc>
        <w:tc>
          <w:tcPr>
            <w:tcW w:w="931" w:type="dxa"/>
            <w:tcBorders>
              <w:top w:val="nil"/>
              <w:left w:val="nil"/>
              <w:bottom w:val="nil"/>
              <w:right w:val="nil"/>
            </w:tcBorders>
            <w:shd w:val="clear" w:color="auto" w:fill="auto"/>
            <w:vAlign w:val="center"/>
            <w:hideMark/>
          </w:tcPr>
          <w:p w14:paraId="33A78C68"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19</w:t>
            </w:r>
          </w:p>
        </w:tc>
        <w:tc>
          <w:tcPr>
            <w:tcW w:w="960" w:type="dxa"/>
            <w:tcBorders>
              <w:top w:val="nil"/>
              <w:left w:val="nil"/>
              <w:bottom w:val="nil"/>
              <w:right w:val="nil"/>
            </w:tcBorders>
            <w:shd w:val="clear" w:color="auto" w:fill="auto"/>
            <w:noWrap/>
            <w:vAlign w:val="bottom"/>
            <w:hideMark/>
          </w:tcPr>
          <w:p w14:paraId="3DC232D2"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0.52</w:t>
            </w:r>
          </w:p>
        </w:tc>
      </w:tr>
      <w:tr w:rsidR="00CD7F68" w:rsidRPr="00CD7F68" w14:paraId="6D6690E8" w14:textId="77777777" w:rsidTr="00CD7F68">
        <w:trPr>
          <w:trHeight w:val="300"/>
        </w:trPr>
        <w:tc>
          <w:tcPr>
            <w:tcW w:w="1433" w:type="dxa"/>
            <w:tcBorders>
              <w:top w:val="nil"/>
              <w:left w:val="nil"/>
              <w:bottom w:val="nil"/>
              <w:right w:val="nil"/>
            </w:tcBorders>
            <w:shd w:val="clear" w:color="auto" w:fill="auto"/>
            <w:noWrap/>
            <w:vAlign w:val="bottom"/>
            <w:hideMark/>
          </w:tcPr>
          <w:p w14:paraId="36CC65E8" w14:textId="77777777" w:rsidR="00CD7F68" w:rsidRPr="00CD7F68" w:rsidRDefault="00CD7F68" w:rsidP="00CD7F68">
            <w:pPr>
              <w:spacing w:line="480" w:lineRule="auto"/>
              <w:rPr>
                <w:rFonts w:ascii="Arial" w:eastAsia="Times New Roman" w:hAnsi="Arial" w:cs="Arial"/>
                <w:bCs/>
                <w:color w:val="000000"/>
              </w:rPr>
            </w:pPr>
            <w:r w:rsidRPr="00CD7F68">
              <w:rPr>
                <w:rFonts w:ascii="Arial" w:eastAsia="Times New Roman" w:hAnsi="Arial" w:cs="Arial"/>
                <w:bCs/>
                <w:color w:val="000000"/>
              </w:rPr>
              <w:t>2003-2007</w:t>
            </w:r>
          </w:p>
        </w:tc>
        <w:tc>
          <w:tcPr>
            <w:tcW w:w="937" w:type="dxa"/>
            <w:tcBorders>
              <w:top w:val="nil"/>
              <w:left w:val="nil"/>
              <w:bottom w:val="nil"/>
              <w:right w:val="nil"/>
            </w:tcBorders>
            <w:shd w:val="clear" w:color="auto" w:fill="auto"/>
            <w:noWrap/>
            <w:vAlign w:val="bottom"/>
            <w:hideMark/>
          </w:tcPr>
          <w:p w14:paraId="5A6E3A97"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3</w:t>
            </w:r>
          </w:p>
        </w:tc>
        <w:tc>
          <w:tcPr>
            <w:tcW w:w="697" w:type="dxa"/>
            <w:tcBorders>
              <w:top w:val="nil"/>
              <w:left w:val="nil"/>
              <w:bottom w:val="nil"/>
              <w:right w:val="nil"/>
            </w:tcBorders>
            <w:shd w:val="clear" w:color="auto" w:fill="auto"/>
            <w:noWrap/>
            <w:vAlign w:val="bottom"/>
            <w:hideMark/>
          </w:tcPr>
          <w:p w14:paraId="51CA8D5E"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2</w:t>
            </w:r>
          </w:p>
        </w:tc>
        <w:tc>
          <w:tcPr>
            <w:tcW w:w="1484" w:type="dxa"/>
            <w:tcBorders>
              <w:top w:val="nil"/>
              <w:left w:val="nil"/>
              <w:bottom w:val="nil"/>
              <w:right w:val="nil"/>
            </w:tcBorders>
            <w:shd w:val="clear" w:color="auto" w:fill="auto"/>
            <w:vAlign w:val="bottom"/>
            <w:hideMark/>
          </w:tcPr>
          <w:p w14:paraId="629E392C"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10</w:t>
            </w:r>
          </w:p>
        </w:tc>
        <w:tc>
          <w:tcPr>
            <w:tcW w:w="1418" w:type="dxa"/>
            <w:tcBorders>
              <w:top w:val="nil"/>
              <w:left w:val="nil"/>
              <w:bottom w:val="nil"/>
              <w:right w:val="nil"/>
            </w:tcBorders>
            <w:shd w:val="clear" w:color="auto" w:fill="auto"/>
            <w:noWrap/>
            <w:vAlign w:val="bottom"/>
            <w:hideMark/>
          </w:tcPr>
          <w:p w14:paraId="6B0427A5"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6</w:t>
            </w:r>
          </w:p>
        </w:tc>
        <w:tc>
          <w:tcPr>
            <w:tcW w:w="660" w:type="dxa"/>
            <w:tcBorders>
              <w:top w:val="nil"/>
              <w:left w:val="nil"/>
              <w:bottom w:val="nil"/>
              <w:right w:val="nil"/>
            </w:tcBorders>
            <w:shd w:val="clear" w:color="auto" w:fill="auto"/>
            <w:noWrap/>
            <w:vAlign w:val="bottom"/>
            <w:hideMark/>
          </w:tcPr>
          <w:p w14:paraId="1971DCE7"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w:t>
            </w:r>
          </w:p>
        </w:tc>
        <w:tc>
          <w:tcPr>
            <w:tcW w:w="931" w:type="dxa"/>
            <w:tcBorders>
              <w:top w:val="nil"/>
              <w:left w:val="nil"/>
              <w:bottom w:val="nil"/>
              <w:right w:val="nil"/>
            </w:tcBorders>
            <w:shd w:val="clear" w:color="auto" w:fill="auto"/>
            <w:vAlign w:val="center"/>
            <w:hideMark/>
          </w:tcPr>
          <w:p w14:paraId="40345C6A"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22</w:t>
            </w:r>
          </w:p>
        </w:tc>
        <w:tc>
          <w:tcPr>
            <w:tcW w:w="960" w:type="dxa"/>
            <w:tcBorders>
              <w:top w:val="nil"/>
              <w:left w:val="nil"/>
              <w:bottom w:val="nil"/>
              <w:right w:val="nil"/>
            </w:tcBorders>
            <w:shd w:val="clear" w:color="auto" w:fill="auto"/>
            <w:noWrap/>
            <w:vAlign w:val="bottom"/>
            <w:hideMark/>
          </w:tcPr>
          <w:p w14:paraId="33CA27D3"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0.59</w:t>
            </w:r>
          </w:p>
        </w:tc>
      </w:tr>
      <w:tr w:rsidR="00CD7F68" w:rsidRPr="00CD7F68" w14:paraId="166A3D26" w14:textId="77777777" w:rsidTr="00CD7F68">
        <w:trPr>
          <w:trHeight w:val="300"/>
        </w:trPr>
        <w:tc>
          <w:tcPr>
            <w:tcW w:w="1433" w:type="dxa"/>
            <w:tcBorders>
              <w:top w:val="nil"/>
              <w:left w:val="nil"/>
              <w:bottom w:val="nil"/>
              <w:right w:val="nil"/>
            </w:tcBorders>
            <w:shd w:val="clear" w:color="auto" w:fill="auto"/>
            <w:noWrap/>
            <w:vAlign w:val="bottom"/>
            <w:hideMark/>
          </w:tcPr>
          <w:p w14:paraId="12D20A85" w14:textId="77777777" w:rsidR="00CD7F68" w:rsidRPr="00CD7F68" w:rsidRDefault="00CD7F68" w:rsidP="00CD7F68">
            <w:pPr>
              <w:spacing w:line="480" w:lineRule="auto"/>
              <w:rPr>
                <w:rFonts w:ascii="Arial" w:eastAsia="Times New Roman" w:hAnsi="Arial" w:cs="Arial"/>
                <w:bCs/>
                <w:color w:val="000000"/>
              </w:rPr>
            </w:pPr>
            <w:r w:rsidRPr="00CD7F68">
              <w:rPr>
                <w:rFonts w:ascii="Arial" w:eastAsia="Times New Roman" w:hAnsi="Arial" w:cs="Arial"/>
                <w:bCs/>
                <w:color w:val="000000"/>
              </w:rPr>
              <w:t>2008-2012</w:t>
            </w:r>
          </w:p>
        </w:tc>
        <w:tc>
          <w:tcPr>
            <w:tcW w:w="937" w:type="dxa"/>
            <w:tcBorders>
              <w:top w:val="nil"/>
              <w:left w:val="nil"/>
              <w:bottom w:val="nil"/>
              <w:right w:val="nil"/>
            </w:tcBorders>
            <w:shd w:val="clear" w:color="auto" w:fill="auto"/>
            <w:noWrap/>
            <w:vAlign w:val="bottom"/>
            <w:hideMark/>
          </w:tcPr>
          <w:p w14:paraId="1EEA5C12"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4</w:t>
            </w:r>
          </w:p>
        </w:tc>
        <w:tc>
          <w:tcPr>
            <w:tcW w:w="697" w:type="dxa"/>
            <w:tcBorders>
              <w:top w:val="nil"/>
              <w:left w:val="nil"/>
              <w:bottom w:val="nil"/>
              <w:right w:val="nil"/>
            </w:tcBorders>
            <w:shd w:val="clear" w:color="auto" w:fill="auto"/>
            <w:noWrap/>
            <w:vAlign w:val="bottom"/>
            <w:hideMark/>
          </w:tcPr>
          <w:p w14:paraId="1FDAEA85"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3</w:t>
            </w:r>
          </w:p>
        </w:tc>
        <w:tc>
          <w:tcPr>
            <w:tcW w:w="1484" w:type="dxa"/>
            <w:tcBorders>
              <w:top w:val="nil"/>
              <w:left w:val="nil"/>
              <w:bottom w:val="nil"/>
              <w:right w:val="nil"/>
            </w:tcBorders>
            <w:shd w:val="clear" w:color="auto" w:fill="auto"/>
            <w:vAlign w:val="bottom"/>
            <w:hideMark/>
          </w:tcPr>
          <w:p w14:paraId="2C63AAD6"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12</w:t>
            </w:r>
          </w:p>
        </w:tc>
        <w:tc>
          <w:tcPr>
            <w:tcW w:w="1418" w:type="dxa"/>
            <w:tcBorders>
              <w:top w:val="nil"/>
              <w:left w:val="nil"/>
              <w:bottom w:val="nil"/>
              <w:right w:val="nil"/>
            </w:tcBorders>
            <w:shd w:val="clear" w:color="auto" w:fill="auto"/>
            <w:noWrap/>
            <w:vAlign w:val="bottom"/>
            <w:hideMark/>
          </w:tcPr>
          <w:p w14:paraId="069DA844"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15</w:t>
            </w:r>
          </w:p>
        </w:tc>
        <w:tc>
          <w:tcPr>
            <w:tcW w:w="660" w:type="dxa"/>
            <w:tcBorders>
              <w:top w:val="nil"/>
              <w:left w:val="nil"/>
              <w:bottom w:val="nil"/>
              <w:right w:val="nil"/>
            </w:tcBorders>
            <w:shd w:val="clear" w:color="auto" w:fill="auto"/>
            <w:noWrap/>
            <w:vAlign w:val="bottom"/>
            <w:hideMark/>
          </w:tcPr>
          <w:p w14:paraId="694CE7FB"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2</w:t>
            </w:r>
          </w:p>
        </w:tc>
        <w:tc>
          <w:tcPr>
            <w:tcW w:w="931" w:type="dxa"/>
            <w:tcBorders>
              <w:top w:val="nil"/>
              <w:left w:val="nil"/>
              <w:bottom w:val="nil"/>
              <w:right w:val="nil"/>
            </w:tcBorders>
            <w:shd w:val="clear" w:color="auto" w:fill="auto"/>
            <w:vAlign w:val="center"/>
            <w:hideMark/>
          </w:tcPr>
          <w:p w14:paraId="466C79A0"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36</w:t>
            </w:r>
          </w:p>
        </w:tc>
        <w:tc>
          <w:tcPr>
            <w:tcW w:w="960" w:type="dxa"/>
            <w:tcBorders>
              <w:top w:val="nil"/>
              <w:left w:val="nil"/>
              <w:bottom w:val="nil"/>
              <w:right w:val="nil"/>
            </w:tcBorders>
            <w:shd w:val="clear" w:color="auto" w:fill="auto"/>
            <w:noWrap/>
            <w:vAlign w:val="bottom"/>
            <w:hideMark/>
          </w:tcPr>
          <w:p w14:paraId="4A82C91D"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0.62</w:t>
            </w:r>
          </w:p>
        </w:tc>
      </w:tr>
      <w:tr w:rsidR="00CD7F68" w:rsidRPr="00CD7F68" w14:paraId="431BBF07" w14:textId="77777777" w:rsidTr="00CD7F68">
        <w:trPr>
          <w:trHeight w:val="300"/>
        </w:trPr>
        <w:tc>
          <w:tcPr>
            <w:tcW w:w="1433" w:type="dxa"/>
            <w:tcBorders>
              <w:top w:val="nil"/>
              <w:left w:val="nil"/>
              <w:right w:val="nil"/>
            </w:tcBorders>
            <w:shd w:val="clear" w:color="auto" w:fill="auto"/>
            <w:noWrap/>
            <w:vAlign w:val="bottom"/>
            <w:hideMark/>
          </w:tcPr>
          <w:p w14:paraId="04B88598" w14:textId="77777777" w:rsidR="00CD7F68" w:rsidRPr="00CD7F68" w:rsidRDefault="00CD7F68" w:rsidP="00CD7F68">
            <w:pPr>
              <w:spacing w:line="480" w:lineRule="auto"/>
              <w:rPr>
                <w:rFonts w:ascii="Arial" w:eastAsia="Times New Roman" w:hAnsi="Arial" w:cs="Arial"/>
                <w:bCs/>
                <w:color w:val="000000"/>
              </w:rPr>
            </w:pPr>
            <w:r w:rsidRPr="00CD7F68">
              <w:rPr>
                <w:rFonts w:ascii="Arial" w:eastAsia="Times New Roman" w:hAnsi="Arial" w:cs="Arial"/>
                <w:bCs/>
                <w:color w:val="000000"/>
              </w:rPr>
              <w:t>2013-2014</w:t>
            </w:r>
          </w:p>
        </w:tc>
        <w:tc>
          <w:tcPr>
            <w:tcW w:w="937" w:type="dxa"/>
            <w:tcBorders>
              <w:top w:val="nil"/>
              <w:left w:val="nil"/>
              <w:right w:val="nil"/>
            </w:tcBorders>
            <w:shd w:val="clear" w:color="auto" w:fill="auto"/>
            <w:noWrap/>
            <w:vAlign w:val="bottom"/>
            <w:hideMark/>
          </w:tcPr>
          <w:p w14:paraId="35E9C0D5"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w:t>
            </w:r>
          </w:p>
        </w:tc>
        <w:tc>
          <w:tcPr>
            <w:tcW w:w="697" w:type="dxa"/>
            <w:tcBorders>
              <w:top w:val="nil"/>
              <w:left w:val="nil"/>
              <w:right w:val="nil"/>
            </w:tcBorders>
            <w:shd w:val="clear" w:color="auto" w:fill="auto"/>
            <w:noWrap/>
            <w:vAlign w:val="bottom"/>
            <w:hideMark/>
          </w:tcPr>
          <w:p w14:paraId="63977016"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w:t>
            </w:r>
          </w:p>
        </w:tc>
        <w:tc>
          <w:tcPr>
            <w:tcW w:w="1484" w:type="dxa"/>
            <w:tcBorders>
              <w:top w:val="nil"/>
              <w:left w:val="nil"/>
              <w:right w:val="nil"/>
            </w:tcBorders>
            <w:shd w:val="clear" w:color="auto" w:fill="auto"/>
            <w:vAlign w:val="bottom"/>
            <w:hideMark/>
          </w:tcPr>
          <w:p w14:paraId="43B3EB7C"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7</w:t>
            </w:r>
          </w:p>
        </w:tc>
        <w:tc>
          <w:tcPr>
            <w:tcW w:w="1418" w:type="dxa"/>
            <w:tcBorders>
              <w:top w:val="nil"/>
              <w:left w:val="nil"/>
              <w:right w:val="nil"/>
            </w:tcBorders>
            <w:shd w:val="clear" w:color="auto" w:fill="auto"/>
            <w:noWrap/>
            <w:vAlign w:val="bottom"/>
            <w:hideMark/>
          </w:tcPr>
          <w:p w14:paraId="685DD8AC"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4</w:t>
            </w:r>
          </w:p>
        </w:tc>
        <w:tc>
          <w:tcPr>
            <w:tcW w:w="660" w:type="dxa"/>
            <w:tcBorders>
              <w:top w:val="nil"/>
              <w:left w:val="nil"/>
              <w:right w:val="nil"/>
            </w:tcBorders>
            <w:shd w:val="clear" w:color="auto" w:fill="auto"/>
            <w:noWrap/>
            <w:vAlign w:val="bottom"/>
            <w:hideMark/>
          </w:tcPr>
          <w:p w14:paraId="734E3C83"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w:t>
            </w:r>
          </w:p>
        </w:tc>
        <w:tc>
          <w:tcPr>
            <w:tcW w:w="931" w:type="dxa"/>
            <w:tcBorders>
              <w:top w:val="nil"/>
              <w:left w:val="nil"/>
              <w:right w:val="nil"/>
            </w:tcBorders>
            <w:shd w:val="clear" w:color="auto" w:fill="auto"/>
            <w:vAlign w:val="center"/>
            <w:hideMark/>
          </w:tcPr>
          <w:p w14:paraId="1B745B5D"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13</w:t>
            </w:r>
          </w:p>
        </w:tc>
        <w:tc>
          <w:tcPr>
            <w:tcW w:w="960" w:type="dxa"/>
            <w:tcBorders>
              <w:top w:val="nil"/>
              <w:left w:val="nil"/>
              <w:right w:val="nil"/>
            </w:tcBorders>
            <w:shd w:val="clear" w:color="auto" w:fill="auto"/>
            <w:noWrap/>
            <w:vAlign w:val="bottom"/>
            <w:hideMark/>
          </w:tcPr>
          <w:p w14:paraId="59E1B64E"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0.65</w:t>
            </w:r>
          </w:p>
        </w:tc>
      </w:tr>
      <w:tr w:rsidR="00CD7F68" w:rsidRPr="00CD7F68" w14:paraId="7807C7A5" w14:textId="77777777" w:rsidTr="00CD7F68">
        <w:trPr>
          <w:trHeight w:val="300"/>
        </w:trPr>
        <w:tc>
          <w:tcPr>
            <w:tcW w:w="1433" w:type="dxa"/>
            <w:tcBorders>
              <w:top w:val="nil"/>
              <w:left w:val="nil"/>
              <w:bottom w:val="single" w:sz="4" w:space="0" w:color="auto"/>
              <w:right w:val="nil"/>
            </w:tcBorders>
            <w:shd w:val="clear" w:color="auto" w:fill="auto"/>
            <w:noWrap/>
            <w:vAlign w:val="bottom"/>
            <w:hideMark/>
          </w:tcPr>
          <w:p w14:paraId="1A7C5094" w14:textId="77777777" w:rsidR="00CD7F68" w:rsidRPr="00CD7F68" w:rsidRDefault="00CD7F68" w:rsidP="00CD7F68">
            <w:pPr>
              <w:spacing w:line="480" w:lineRule="auto"/>
              <w:jc w:val="center"/>
              <w:rPr>
                <w:rFonts w:ascii="Arial" w:eastAsia="Times New Roman" w:hAnsi="Arial" w:cs="Arial"/>
                <w:bCs/>
                <w:color w:val="000000"/>
              </w:rPr>
            </w:pPr>
            <w:r w:rsidRPr="00CD7F68">
              <w:rPr>
                <w:rFonts w:ascii="Arial" w:eastAsia="Times New Roman" w:hAnsi="Arial" w:cs="Arial"/>
                <w:bCs/>
                <w:color w:val="000000"/>
              </w:rPr>
              <w:t>Total</w:t>
            </w:r>
          </w:p>
        </w:tc>
        <w:tc>
          <w:tcPr>
            <w:tcW w:w="937" w:type="dxa"/>
            <w:tcBorders>
              <w:top w:val="nil"/>
              <w:left w:val="nil"/>
              <w:bottom w:val="single" w:sz="4" w:space="0" w:color="auto"/>
              <w:right w:val="nil"/>
            </w:tcBorders>
            <w:shd w:val="clear" w:color="auto" w:fill="auto"/>
            <w:noWrap/>
            <w:vAlign w:val="bottom"/>
            <w:hideMark/>
          </w:tcPr>
          <w:p w14:paraId="2E2BF9DC" w14:textId="77777777" w:rsidR="00CD7F68" w:rsidRPr="00CD7F68" w:rsidRDefault="00CD7F68" w:rsidP="00CD7F68">
            <w:pPr>
              <w:spacing w:line="480" w:lineRule="auto"/>
              <w:jc w:val="right"/>
              <w:rPr>
                <w:rFonts w:ascii="Arial" w:eastAsia="Times New Roman" w:hAnsi="Arial" w:cs="Arial"/>
                <w:bCs/>
                <w:color w:val="000000"/>
              </w:rPr>
            </w:pPr>
            <w:r w:rsidRPr="00CD7F68">
              <w:rPr>
                <w:rFonts w:ascii="Arial" w:eastAsia="Times New Roman" w:hAnsi="Arial" w:cs="Arial"/>
                <w:bCs/>
                <w:color w:val="000000"/>
              </w:rPr>
              <w:t>11</w:t>
            </w:r>
          </w:p>
        </w:tc>
        <w:tc>
          <w:tcPr>
            <w:tcW w:w="697" w:type="dxa"/>
            <w:tcBorders>
              <w:top w:val="nil"/>
              <w:left w:val="nil"/>
              <w:bottom w:val="single" w:sz="4" w:space="0" w:color="auto"/>
              <w:right w:val="nil"/>
            </w:tcBorders>
            <w:shd w:val="clear" w:color="auto" w:fill="auto"/>
            <w:noWrap/>
            <w:vAlign w:val="bottom"/>
            <w:hideMark/>
          </w:tcPr>
          <w:p w14:paraId="681D3A52" w14:textId="77777777" w:rsidR="00CD7F68" w:rsidRPr="00CD7F68" w:rsidRDefault="00CD7F68" w:rsidP="00CD7F68">
            <w:pPr>
              <w:spacing w:line="480" w:lineRule="auto"/>
              <w:jc w:val="right"/>
              <w:rPr>
                <w:rFonts w:ascii="Arial" w:eastAsia="Times New Roman" w:hAnsi="Arial" w:cs="Arial"/>
                <w:bCs/>
                <w:color w:val="000000"/>
              </w:rPr>
            </w:pPr>
            <w:r w:rsidRPr="00CD7F68">
              <w:rPr>
                <w:rFonts w:ascii="Arial" w:eastAsia="Times New Roman" w:hAnsi="Arial" w:cs="Arial"/>
                <w:bCs/>
                <w:color w:val="000000"/>
              </w:rPr>
              <w:t>10</w:t>
            </w:r>
          </w:p>
        </w:tc>
        <w:tc>
          <w:tcPr>
            <w:tcW w:w="1484" w:type="dxa"/>
            <w:tcBorders>
              <w:top w:val="nil"/>
              <w:left w:val="nil"/>
              <w:bottom w:val="single" w:sz="4" w:space="0" w:color="auto"/>
              <w:right w:val="nil"/>
            </w:tcBorders>
            <w:shd w:val="clear" w:color="auto" w:fill="auto"/>
            <w:noWrap/>
            <w:vAlign w:val="bottom"/>
            <w:hideMark/>
          </w:tcPr>
          <w:p w14:paraId="44534DFB" w14:textId="77777777" w:rsidR="00CD7F68" w:rsidRPr="00CD7F68" w:rsidRDefault="00CD7F68" w:rsidP="00CD7F68">
            <w:pPr>
              <w:spacing w:line="480" w:lineRule="auto"/>
              <w:jc w:val="right"/>
              <w:rPr>
                <w:rFonts w:ascii="Arial" w:eastAsia="Times New Roman" w:hAnsi="Arial" w:cs="Arial"/>
                <w:bCs/>
                <w:color w:val="000000"/>
              </w:rPr>
            </w:pPr>
            <w:r w:rsidRPr="00CD7F68">
              <w:rPr>
                <w:rFonts w:ascii="Arial" w:eastAsia="Times New Roman" w:hAnsi="Arial" w:cs="Arial"/>
                <w:bCs/>
                <w:color w:val="000000"/>
              </w:rPr>
              <w:t>43</w:t>
            </w:r>
          </w:p>
        </w:tc>
        <w:tc>
          <w:tcPr>
            <w:tcW w:w="1418" w:type="dxa"/>
            <w:tcBorders>
              <w:top w:val="nil"/>
              <w:left w:val="nil"/>
              <w:bottom w:val="single" w:sz="4" w:space="0" w:color="auto"/>
              <w:right w:val="nil"/>
            </w:tcBorders>
            <w:shd w:val="clear" w:color="auto" w:fill="auto"/>
            <w:noWrap/>
            <w:vAlign w:val="bottom"/>
            <w:hideMark/>
          </w:tcPr>
          <w:p w14:paraId="4AE36921" w14:textId="77777777" w:rsidR="00CD7F68" w:rsidRPr="00CD7F68" w:rsidRDefault="00CD7F68" w:rsidP="00CD7F68">
            <w:pPr>
              <w:spacing w:line="480" w:lineRule="auto"/>
              <w:jc w:val="right"/>
              <w:rPr>
                <w:rFonts w:ascii="Arial" w:eastAsia="Times New Roman" w:hAnsi="Arial" w:cs="Arial"/>
                <w:bCs/>
                <w:color w:val="000000"/>
              </w:rPr>
            </w:pPr>
            <w:r w:rsidRPr="00CD7F68">
              <w:rPr>
                <w:rFonts w:ascii="Arial" w:eastAsia="Times New Roman" w:hAnsi="Arial" w:cs="Arial"/>
                <w:bCs/>
                <w:color w:val="000000"/>
              </w:rPr>
              <w:t>26</w:t>
            </w:r>
          </w:p>
        </w:tc>
        <w:tc>
          <w:tcPr>
            <w:tcW w:w="660" w:type="dxa"/>
            <w:tcBorders>
              <w:top w:val="nil"/>
              <w:left w:val="nil"/>
              <w:bottom w:val="single" w:sz="4" w:space="0" w:color="auto"/>
              <w:right w:val="nil"/>
            </w:tcBorders>
            <w:shd w:val="clear" w:color="auto" w:fill="auto"/>
            <w:noWrap/>
            <w:vAlign w:val="bottom"/>
            <w:hideMark/>
          </w:tcPr>
          <w:p w14:paraId="1144F3C1" w14:textId="77777777" w:rsidR="00CD7F68" w:rsidRPr="00CD7F68" w:rsidRDefault="00CD7F68" w:rsidP="00CD7F68">
            <w:pPr>
              <w:spacing w:line="480" w:lineRule="auto"/>
              <w:jc w:val="right"/>
              <w:rPr>
                <w:rFonts w:ascii="Arial" w:eastAsia="Times New Roman" w:hAnsi="Arial" w:cs="Arial"/>
                <w:bCs/>
                <w:color w:val="000000"/>
              </w:rPr>
            </w:pPr>
            <w:r w:rsidRPr="00CD7F68">
              <w:rPr>
                <w:rFonts w:ascii="Arial" w:eastAsia="Times New Roman" w:hAnsi="Arial" w:cs="Arial"/>
                <w:bCs/>
                <w:color w:val="000000"/>
              </w:rPr>
              <w:t>4</w:t>
            </w:r>
          </w:p>
        </w:tc>
        <w:tc>
          <w:tcPr>
            <w:tcW w:w="931" w:type="dxa"/>
            <w:tcBorders>
              <w:top w:val="nil"/>
              <w:left w:val="nil"/>
              <w:bottom w:val="single" w:sz="4" w:space="0" w:color="auto"/>
              <w:right w:val="nil"/>
            </w:tcBorders>
            <w:shd w:val="clear" w:color="auto" w:fill="auto"/>
            <w:noWrap/>
            <w:vAlign w:val="bottom"/>
            <w:hideMark/>
          </w:tcPr>
          <w:p w14:paraId="1D47E1A5" w14:textId="77777777" w:rsidR="00CD7F68" w:rsidRPr="00CD7F68" w:rsidRDefault="00CD7F68" w:rsidP="00CD7F68">
            <w:pPr>
              <w:spacing w:line="480" w:lineRule="auto"/>
              <w:jc w:val="right"/>
              <w:rPr>
                <w:rFonts w:ascii="Arial" w:eastAsia="Times New Roman" w:hAnsi="Arial" w:cs="Arial"/>
                <w:bCs/>
                <w:color w:val="000000"/>
              </w:rPr>
            </w:pPr>
            <w:r w:rsidRPr="00CD7F68">
              <w:rPr>
                <w:rFonts w:ascii="Arial" w:eastAsia="Times New Roman" w:hAnsi="Arial" w:cs="Arial"/>
                <w:bCs/>
                <w:color w:val="000000"/>
              </w:rPr>
              <w:t>94</w:t>
            </w:r>
          </w:p>
        </w:tc>
        <w:tc>
          <w:tcPr>
            <w:tcW w:w="960" w:type="dxa"/>
            <w:tcBorders>
              <w:top w:val="nil"/>
              <w:left w:val="nil"/>
              <w:bottom w:val="single" w:sz="4" w:space="0" w:color="auto"/>
              <w:right w:val="nil"/>
            </w:tcBorders>
            <w:shd w:val="clear" w:color="auto" w:fill="auto"/>
            <w:noWrap/>
            <w:vAlign w:val="bottom"/>
            <w:hideMark/>
          </w:tcPr>
          <w:p w14:paraId="69A84910" w14:textId="77777777" w:rsidR="00CD7F68" w:rsidRPr="00CD7F68" w:rsidRDefault="00CD7F68" w:rsidP="00CD7F68">
            <w:pPr>
              <w:spacing w:line="480" w:lineRule="auto"/>
              <w:jc w:val="right"/>
              <w:rPr>
                <w:rFonts w:ascii="Arial" w:eastAsia="Times New Roman" w:hAnsi="Arial" w:cs="Arial"/>
                <w:color w:val="000000"/>
              </w:rPr>
            </w:pPr>
            <w:r w:rsidRPr="00CD7F68">
              <w:rPr>
                <w:rFonts w:ascii="Arial" w:eastAsia="Times New Roman" w:hAnsi="Arial" w:cs="Arial"/>
                <w:color w:val="000000"/>
              </w:rPr>
              <w:t>1</w:t>
            </w:r>
          </w:p>
        </w:tc>
      </w:tr>
    </w:tbl>
    <w:p w14:paraId="62DCEE67" w14:textId="1BA7C2A9" w:rsidR="0029021F" w:rsidRDefault="0029021F" w:rsidP="00CD7F68">
      <w:pPr>
        <w:spacing w:line="480" w:lineRule="auto"/>
        <w:rPr>
          <w:rFonts w:ascii="Arial" w:hAnsi="Arial" w:cs="Arial"/>
          <w:color w:val="000000" w:themeColor="text1"/>
        </w:rPr>
      </w:pPr>
    </w:p>
    <w:p w14:paraId="0DE38A2A" w14:textId="77777777" w:rsidR="0029021F" w:rsidRDefault="0029021F">
      <w:pPr>
        <w:rPr>
          <w:rFonts w:ascii="Arial" w:hAnsi="Arial" w:cs="Arial"/>
          <w:color w:val="000000" w:themeColor="text1"/>
        </w:rPr>
      </w:pPr>
      <w:r>
        <w:rPr>
          <w:rFonts w:ascii="Arial" w:hAnsi="Arial" w:cs="Arial"/>
          <w:color w:val="000000" w:themeColor="text1"/>
        </w:rPr>
        <w:br w:type="page"/>
      </w:r>
    </w:p>
    <w:p w14:paraId="1F15A969" w14:textId="760E996B" w:rsidR="0029021F" w:rsidRDefault="0029021F" w:rsidP="0029021F">
      <w:pPr>
        <w:spacing w:line="480" w:lineRule="auto"/>
        <w:rPr>
          <w:rFonts w:ascii="Arial" w:hAnsi="Arial" w:cs="Arial"/>
        </w:rPr>
      </w:pPr>
      <w:r w:rsidRPr="00CD7F68">
        <w:rPr>
          <w:rFonts w:ascii="Arial" w:hAnsi="Arial" w:cs="Arial"/>
          <w:b/>
          <w:color w:val="000000" w:themeColor="text1"/>
        </w:rPr>
        <w:t xml:space="preserve">Supplementary </w:t>
      </w:r>
      <w:r>
        <w:rPr>
          <w:rFonts w:ascii="Arial" w:hAnsi="Arial" w:cs="Arial"/>
          <w:b/>
          <w:color w:val="000000" w:themeColor="text1"/>
        </w:rPr>
        <w:t>Figure</w:t>
      </w:r>
      <w:r w:rsidRPr="00CD7F68">
        <w:rPr>
          <w:rFonts w:ascii="Arial" w:hAnsi="Arial" w:cs="Arial"/>
          <w:b/>
          <w:color w:val="000000" w:themeColor="text1"/>
        </w:rPr>
        <w:t xml:space="preserve"> S</w:t>
      </w:r>
      <w:r>
        <w:rPr>
          <w:rFonts w:ascii="Arial" w:hAnsi="Arial" w:cs="Arial"/>
          <w:b/>
          <w:color w:val="000000" w:themeColor="text1"/>
        </w:rPr>
        <w:t>1</w:t>
      </w:r>
      <w:r w:rsidRPr="00CD7F68">
        <w:rPr>
          <w:rFonts w:ascii="Arial" w:hAnsi="Arial" w:cs="Arial"/>
          <w:color w:val="000000" w:themeColor="text1"/>
        </w:rPr>
        <w:t xml:space="preserve">: </w:t>
      </w:r>
      <w:r>
        <w:rPr>
          <w:rFonts w:ascii="Arial" w:hAnsi="Arial" w:cs="Arial"/>
        </w:rPr>
        <w:t>Co-authorship network</w:t>
      </w:r>
    </w:p>
    <w:p w14:paraId="29209EF9" w14:textId="2FA1875A" w:rsidR="0029021F" w:rsidRDefault="0029021F" w:rsidP="0029021F">
      <w:pPr>
        <w:spacing w:line="480" w:lineRule="auto"/>
        <w:rPr>
          <w:rFonts w:ascii="Arial" w:hAnsi="Arial" w:cs="Arial"/>
        </w:rPr>
      </w:pPr>
      <w:r>
        <w:rPr>
          <w:rFonts w:ascii="Arial" w:hAnsi="Arial" w:cs="Arial"/>
          <w:noProof/>
          <w:lang w:val="en-US"/>
        </w:rPr>
        <w:drawing>
          <wp:inline distT="0" distB="0" distL="0" distR="0" wp14:anchorId="62D2564B" wp14:editId="01B02CDD">
            <wp:extent cx="5575935" cy="259524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5">
                      <a:extLst>
                        <a:ext uri="{28A0092B-C50C-407E-A947-70E740481C1C}">
                          <a14:useLocalDpi xmlns:a14="http://schemas.microsoft.com/office/drawing/2010/main" val="0"/>
                        </a:ext>
                      </a:extLst>
                    </a:blip>
                    <a:stretch>
                      <a:fillRect/>
                    </a:stretch>
                  </pic:blipFill>
                  <pic:spPr>
                    <a:xfrm>
                      <a:off x="0" y="0"/>
                      <a:ext cx="5575935" cy="2595245"/>
                    </a:xfrm>
                    <a:prstGeom prst="rect">
                      <a:avLst/>
                    </a:prstGeom>
                  </pic:spPr>
                </pic:pic>
              </a:graphicData>
            </a:graphic>
          </wp:inline>
        </w:drawing>
      </w:r>
    </w:p>
    <w:p w14:paraId="5EB5DD32" w14:textId="696F1092" w:rsidR="0029021F" w:rsidRPr="00CD7F68" w:rsidRDefault="0029021F" w:rsidP="0029021F">
      <w:pPr>
        <w:spacing w:line="480" w:lineRule="auto"/>
        <w:rPr>
          <w:rFonts w:ascii="Arial" w:hAnsi="Arial" w:cs="Arial"/>
        </w:rPr>
      </w:pPr>
      <w:r>
        <w:rPr>
          <w:rFonts w:ascii="Arial" w:hAnsi="Arial" w:cs="Arial"/>
        </w:rPr>
        <w:t>Figure S1: Co-authorship network between researchers on the conservation genetics of African savannah elephants (</w:t>
      </w:r>
      <w:proofErr w:type="spellStart"/>
      <w:r w:rsidRPr="0029021F">
        <w:rPr>
          <w:rFonts w:ascii="Arial" w:hAnsi="Arial" w:cs="Arial"/>
          <w:i/>
        </w:rPr>
        <w:t>Loxodonta</w:t>
      </w:r>
      <w:proofErr w:type="spellEnd"/>
      <w:r w:rsidRPr="0029021F">
        <w:rPr>
          <w:rFonts w:ascii="Arial" w:hAnsi="Arial" w:cs="Arial"/>
          <w:i/>
        </w:rPr>
        <w:t xml:space="preserve"> </w:t>
      </w:r>
      <w:proofErr w:type="spellStart"/>
      <w:r>
        <w:rPr>
          <w:rFonts w:ascii="Arial" w:hAnsi="Arial" w:cs="Arial"/>
          <w:i/>
        </w:rPr>
        <w:t>a</w:t>
      </w:r>
      <w:r w:rsidRPr="0029021F">
        <w:rPr>
          <w:rFonts w:ascii="Arial" w:hAnsi="Arial" w:cs="Arial"/>
          <w:i/>
        </w:rPr>
        <w:t>fricana</w:t>
      </w:r>
      <w:proofErr w:type="spellEnd"/>
      <w:r>
        <w:rPr>
          <w:rFonts w:ascii="Arial" w:hAnsi="Arial" w:cs="Arial"/>
        </w:rPr>
        <w:t>), evidencing the existence of two main groups of researchers working together and the reduced collaboration between (especially in Cluster 1). Blue nodes represent researchers that work mostly with Asian elephants but are included here as they are focused on the evolution of modern elephants from the mammoth (</w:t>
      </w:r>
      <w:proofErr w:type="spellStart"/>
      <w:r w:rsidRPr="0029021F">
        <w:rPr>
          <w:rFonts w:ascii="Arial" w:hAnsi="Arial" w:cs="Arial"/>
          <w:i/>
        </w:rPr>
        <w:t>Mammuthus</w:t>
      </w:r>
      <w:proofErr w:type="spellEnd"/>
      <w:r w:rsidRPr="0029021F">
        <w:rPr>
          <w:rFonts w:ascii="Arial" w:hAnsi="Arial" w:cs="Arial"/>
          <w:i/>
        </w:rPr>
        <w:t xml:space="preserve"> </w:t>
      </w:r>
      <w:proofErr w:type="spellStart"/>
      <w:r w:rsidRPr="0029021F">
        <w:rPr>
          <w:rFonts w:ascii="Arial" w:hAnsi="Arial" w:cs="Arial"/>
          <w:i/>
        </w:rPr>
        <w:t>primigenius</w:t>
      </w:r>
      <w:proofErr w:type="spellEnd"/>
      <w:r>
        <w:rPr>
          <w:rFonts w:ascii="Arial" w:hAnsi="Arial" w:cs="Arial"/>
        </w:rPr>
        <w:t>).</w:t>
      </w:r>
      <w:bookmarkStart w:id="0" w:name="_GoBack"/>
      <w:bookmarkEnd w:id="0"/>
    </w:p>
    <w:p w14:paraId="6CC6A4A8" w14:textId="77777777" w:rsidR="001B6507" w:rsidRPr="00CD7F68" w:rsidRDefault="001B6507" w:rsidP="00CD7F68">
      <w:pPr>
        <w:spacing w:line="480" w:lineRule="auto"/>
        <w:rPr>
          <w:rFonts w:ascii="Arial" w:hAnsi="Arial" w:cs="Arial"/>
          <w:color w:val="000000" w:themeColor="text1"/>
        </w:rPr>
      </w:pPr>
    </w:p>
    <w:sectPr w:rsidR="001B6507" w:rsidRPr="00CD7F68" w:rsidSect="00A72072">
      <w:pgSz w:w="11900" w:h="16840"/>
      <w:pgMar w:top="1418" w:right="1418" w:bottom="1418" w:left="170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D9C"/>
    <w:rsid w:val="000967FF"/>
    <w:rsid w:val="000D4D9C"/>
    <w:rsid w:val="001B6507"/>
    <w:rsid w:val="00226A77"/>
    <w:rsid w:val="0029021F"/>
    <w:rsid w:val="00355CDB"/>
    <w:rsid w:val="00370AA1"/>
    <w:rsid w:val="00467066"/>
    <w:rsid w:val="004C0C15"/>
    <w:rsid w:val="00506ADA"/>
    <w:rsid w:val="006047D1"/>
    <w:rsid w:val="00830F49"/>
    <w:rsid w:val="00A72072"/>
    <w:rsid w:val="00CD7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66581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D9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D9C"/>
    <w:rPr>
      <w:rFonts w:ascii="Lucida Grande" w:hAnsi="Lucida Grande" w:cs="Lucida Grande"/>
      <w:sz w:val="18"/>
      <w:szCs w:val="18"/>
      <w:lang w:val="en-GB"/>
    </w:rPr>
  </w:style>
  <w:style w:type="paragraph" w:styleId="Caption">
    <w:name w:val="caption"/>
    <w:basedOn w:val="Normal"/>
    <w:next w:val="Normal"/>
    <w:uiPriority w:val="35"/>
    <w:unhideWhenUsed/>
    <w:qFormat/>
    <w:rsid w:val="00506ADA"/>
    <w:pPr>
      <w:spacing w:after="200"/>
    </w:pPr>
    <w:rPr>
      <w:b/>
      <w:bCs/>
      <w:color w:val="4F81BD" w:themeColor="accent1"/>
      <w:sz w:val="18"/>
      <w:szCs w:val="18"/>
    </w:rPr>
  </w:style>
  <w:style w:type="paragraph" w:styleId="NormalWeb">
    <w:name w:val="Normal (Web)"/>
    <w:basedOn w:val="Normal"/>
    <w:uiPriority w:val="99"/>
    <w:semiHidden/>
    <w:unhideWhenUsed/>
    <w:rsid w:val="00CD7F68"/>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D9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4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4D9C"/>
    <w:rPr>
      <w:rFonts w:ascii="Lucida Grande" w:hAnsi="Lucida Grande" w:cs="Lucida Grande"/>
      <w:sz w:val="18"/>
      <w:szCs w:val="18"/>
      <w:lang w:val="en-GB"/>
    </w:rPr>
  </w:style>
  <w:style w:type="paragraph" w:styleId="Caption">
    <w:name w:val="caption"/>
    <w:basedOn w:val="Normal"/>
    <w:next w:val="Normal"/>
    <w:uiPriority w:val="35"/>
    <w:unhideWhenUsed/>
    <w:qFormat/>
    <w:rsid w:val="00506ADA"/>
    <w:pPr>
      <w:spacing w:after="200"/>
    </w:pPr>
    <w:rPr>
      <w:b/>
      <w:bCs/>
      <w:color w:val="4F81BD" w:themeColor="accent1"/>
      <w:sz w:val="18"/>
      <w:szCs w:val="18"/>
    </w:rPr>
  </w:style>
  <w:style w:type="paragraph" w:styleId="NormalWeb">
    <w:name w:val="Normal (Web)"/>
    <w:basedOn w:val="Normal"/>
    <w:uiPriority w:val="99"/>
    <w:semiHidden/>
    <w:unhideWhenUsed/>
    <w:rsid w:val="00CD7F6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1096">
      <w:bodyDiv w:val="1"/>
      <w:marLeft w:val="0"/>
      <w:marRight w:val="0"/>
      <w:marTop w:val="0"/>
      <w:marBottom w:val="0"/>
      <w:divBdr>
        <w:top w:val="none" w:sz="0" w:space="0" w:color="auto"/>
        <w:left w:val="none" w:sz="0" w:space="0" w:color="auto"/>
        <w:bottom w:val="none" w:sz="0" w:space="0" w:color="auto"/>
        <w:right w:val="none" w:sz="0" w:space="0" w:color="auto"/>
      </w:divBdr>
    </w:div>
    <w:div w:id="542789848">
      <w:bodyDiv w:val="1"/>
      <w:marLeft w:val="0"/>
      <w:marRight w:val="0"/>
      <w:marTop w:val="0"/>
      <w:marBottom w:val="0"/>
      <w:divBdr>
        <w:top w:val="none" w:sz="0" w:space="0" w:color="auto"/>
        <w:left w:val="none" w:sz="0" w:space="0" w:color="auto"/>
        <w:bottom w:val="none" w:sz="0" w:space="0" w:color="auto"/>
        <w:right w:val="none" w:sz="0" w:space="0" w:color="auto"/>
      </w:divBdr>
    </w:div>
    <w:div w:id="1119490578">
      <w:bodyDiv w:val="1"/>
      <w:marLeft w:val="0"/>
      <w:marRight w:val="0"/>
      <w:marTop w:val="0"/>
      <w:marBottom w:val="0"/>
      <w:divBdr>
        <w:top w:val="none" w:sz="0" w:space="0" w:color="auto"/>
        <w:left w:val="none" w:sz="0" w:space="0" w:color="auto"/>
        <w:bottom w:val="none" w:sz="0" w:space="0" w:color="auto"/>
        <w:right w:val="none" w:sz="0" w:space="0" w:color="auto"/>
      </w:divBdr>
    </w:div>
    <w:div w:id="1447848388">
      <w:bodyDiv w:val="1"/>
      <w:marLeft w:val="0"/>
      <w:marRight w:val="0"/>
      <w:marTop w:val="0"/>
      <w:marBottom w:val="0"/>
      <w:divBdr>
        <w:top w:val="none" w:sz="0" w:space="0" w:color="auto"/>
        <w:left w:val="none" w:sz="0" w:space="0" w:color="auto"/>
        <w:bottom w:val="none" w:sz="0" w:space="0" w:color="auto"/>
        <w:right w:val="none" w:sz="0" w:space="0" w:color="auto"/>
      </w:divBdr>
    </w:div>
    <w:div w:id="17435215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2058</Words>
  <Characters>11732</Characters>
  <Application>Microsoft Macintosh Word</Application>
  <DocSecurity>0</DocSecurity>
  <Lines>97</Lines>
  <Paragraphs>27</Paragraphs>
  <ScaleCrop>false</ScaleCrop>
  <Company>Universidade Eduardo Mondlane</Company>
  <LinksUpToDate>false</LinksUpToDate>
  <CharactersWithSpaces>13763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Augusta Zacarias</dc:creator>
  <cp:keywords/>
  <dc:description/>
  <cp:lastModifiedBy>Daniel Augusta Zacarias</cp:lastModifiedBy>
  <cp:revision>4</cp:revision>
  <dcterms:created xsi:type="dcterms:W3CDTF">2015-07-23T12:56:00Z</dcterms:created>
  <dcterms:modified xsi:type="dcterms:W3CDTF">2015-09-03T14:10:00Z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daniel.zacarias15@gmail.com@www.mendeley.com</vt:lpwstr>
  </property>
  <property fmtid="{D5CDD505-2E9C-101B-9397-08002B2CF9AE}" pid="4" name="Mendeley Citation Style_1">
    <vt:lpwstr>http://www.zotero.org/styles/tourism-management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http://www.zotero.org/styles/tourism-management</vt:lpwstr>
  </property>
  <property fmtid="{D5CDD505-2E9C-101B-9397-08002B2CF9AE}" pid="22" name="Mendeley Recent Style Name 8_1">
    <vt:lpwstr>Tourism Management</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