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uadrculadetablaclara1"/>
        <w:tblpPr w:leftFromText="141" w:rightFromText="141" w:vertAnchor="page" w:horzAnchor="margin" w:tblpY="175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1266"/>
        <w:gridCol w:w="638"/>
        <w:gridCol w:w="2848"/>
        <w:gridCol w:w="1962"/>
        <w:gridCol w:w="1225"/>
      </w:tblGrid>
      <w:tr w:rsidR="00C54BCC" w:rsidRPr="00571BCB" w:rsidTr="00287A4A">
        <w:tc>
          <w:tcPr>
            <w:tcW w:w="509" w:type="pct"/>
            <w:tcBorders>
              <w:top w:val="single" w:sz="12" w:space="0" w:color="auto"/>
              <w:bottom w:val="single" w:sz="12" w:space="0" w:color="auto"/>
            </w:tcBorders>
            <w:vAlign w:val="center"/>
          </w:tcPr>
          <w:p w:rsidR="00C54BCC" w:rsidRPr="000C10AA" w:rsidRDefault="00C54BCC" w:rsidP="00C54BCC">
            <w:pPr>
              <w:spacing w:line="360" w:lineRule="auto"/>
              <w:jc w:val="center"/>
              <w:rPr>
                <w:rFonts w:ascii="Times New Roman" w:hAnsi="Times New Roman" w:cs="Times New Roman"/>
                <w:b/>
                <w:sz w:val="16"/>
                <w:szCs w:val="16"/>
                <w:lang w:val="en-US"/>
              </w:rPr>
            </w:pPr>
            <w:r w:rsidRPr="000C10AA">
              <w:rPr>
                <w:rFonts w:ascii="Times New Roman" w:hAnsi="Times New Roman" w:cs="Times New Roman"/>
                <w:b/>
                <w:sz w:val="16"/>
                <w:szCs w:val="16"/>
                <w:lang w:val="en-US"/>
              </w:rPr>
              <w:t>Primer set</w:t>
            </w:r>
          </w:p>
        </w:tc>
        <w:tc>
          <w:tcPr>
            <w:tcW w:w="716" w:type="pct"/>
            <w:tcBorders>
              <w:top w:val="single" w:sz="12" w:space="0" w:color="auto"/>
              <w:bottom w:val="single" w:sz="12" w:space="0" w:color="auto"/>
            </w:tcBorders>
            <w:vAlign w:val="center"/>
          </w:tcPr>
          <w:p w:rsidR="00C54BCC" w:rsidRPr="000C10AA" w:rsidRDefault="00C54BCC" w:rsidP="00C54BCC">
            <w:pPr>
              <w:spacing w:line="360" w:lineRule="auto"/>
              <w:jc w:val="center"/>
              <w:rPr>
                <w:rFonts w:ascii="Times New Roman" w:hAnsi="Times New Roman" w:cs="Times New Roman"/>
                <w:b/>
                <w:sz w:val="16"/>
                <w:szCs w:val="16"/>
                <w:lang w:val="en-US"/>
              </w:rPr>
            </w:pPr>
            <w:r w:rsidRPr="000C10AA">
              <w:rPr>
                <w:rFonts w:ascii="Times New Roman" w:hAnsi="Times New Roman" w:cs="Times New Roman"/>
                <w:b/>
                <w:sz w:val="16"/>
                <w:szCs w:val="16"/>
                <w:lang w:val="en-US"/>
              </w:rPr>
              <w:t>M13 Fluorescent dye</w:t>
            </w:r>
          </w:p>
          <w:p w:rsidR="00C54BCC" w:rsidRPr="000C10AA" w:rsidRDefault="00C54BCC" w:rsidP="00C54BCC">
            <w:pPr>
              <w:spacing w:line="360" w:lineRule="auto"/>
              <w:jc w:val="center"/>
              <w:rPr>
                <w:rFonts w:ascii="Times New Roman" w:hAnsi="Times New Roman" w:cs="Times New Roman"/>
                <w:b/>
                <w:sz w:val="16"/>
                <w:szCs w:val="16"/>
                <w:lang w:val="en-US"/>
              </w:rPr>
            </w:pPr>
          </w:p>
        </w:tc>
        <w:tc>
          <w:tcPr>
            <w:tcW w:w="361" w:type="pct"/>
            <w:tcBorders>
              <w:top w:val="single" w:sz="12" w:space="0" w:color="auto"/>
              <w:bottom w:val="single" w:sz="12" w:space="0" w:color="auto"/>
            </w:tcBorders>
            <w:vAlign w:val="center"/>
          </w:tcPr>
          <w:p w:rsidR="00C54BCC" w:rsidRPr="000C10AA" w:rsidRDefault="00C54BCC" w:rsidP="00C54BCC">
            <w:pPr>
              <w:spacing w:line="360" w:lineRule="auto"/>
              <w:jc w:val="center"/>
              <w:rPr>
                <w:rFonts w:ascii="Times New Roman" w:hAnsi="Times New Roman" w:cs="Times New Roman"/>
                <w:b/>
                <w:sz w:val="16"/>
                <w:szCs w:val="16"/>
                <w:lang w:val="en-US"/>
              </w:rPr>
            </w:pPr>
            <w:r w:rsidRPr="000C10AA">
              <w:rPr>
                <w:rFonts w:ascii="Times New Roman" w:hAnsi="Times New Roman" w:cs="Times New Roman"/>
                <w:b/>
                <w:sz w:val="16"/>
                <w:szCs w:val="16"/>
                <w:lang w:val="en-US"/>
              </w:rPr>
              <w:t>Loci</w:t>
            </w:r>
          </w:p>
        </w:tc>
        <w:tc>
          <w:tcPr>
            <w:tcW w:w="1611" w:type="pct"/>
            <w:tcBorders>
              <w:top w:val="single" w:sz="12" w:space="0" w:color="auto"/>
              <w:bottom w:val="single" w:sz="12" w:space="0" w:color="auto"/>
            </w:tcBorders>
            <w:vAlign w:val="center"/>
          </w:tcPr>
          <w:p w:rsidR="00C54BCC" w:rsidRPr="000C10AA" w:rsidRDefault="00C54BCC" w:rsidP="00C54BCC">
            <w:pPr>
              <w:spacing w:line="360" w:lineRule="auto"/>
              <w:jc w:val="center"/>
              <w:rPr>
                <w:rFonts w:ascii="Times New Roman" w:hAnsi="Times New Roman" w:cs="Times New Roman"/>
                <w:b/>
                <w:sz w:val="16"/>
                <w:szCs w:val="16"/>
                <w:lang w:val="en-US"/>
              </w:rPr>
            </w:pPr>
            <w:r w:rsidRPr="000C10AA">
              <w:rPr>
                <w:rFonts w:ascii="Times New Roman" w:hAnsi="Times New Roman" w:cs="Times New Roman"/>
                <w:b/>
                <w:sz w:val="16"/>
                <w:szCs w:val="16"/>
                <w:lang w:val="en-US"/>
              </w:rPr>
              <w:t>Primer sequence (5'–3')</w:t>
            </w:r>
          </w:p>
        </w:tc>
        <w:tc>
          <w:tcPr>
            <w:tcW w:w="1110" w:type="pct"/>
            <w:tcBorders>
              <w:top w:val="single" w:sz="12" w:space="0" w:color="auto"/>
              <w:bottom w:val="single" w:sz="12" w:space="0" w:color="auto"/>
            </w:tcBorders>
            <w:vAlign w:val="center"/>
          </w:tcPr>
          <w:p w:rsidR="00C54BCC" w:rsidRPr="000C10AA" w:rsidRDefault="00C54BCC" w:rsidP="00C54BCC">
            <w:pPr>
              <w:spacing w:line="360" w:lineRule="auto"/>
              <w:jc w:val="center"/>
              <w:rPr>
                <w:rFonts w:ascii="Times New Roman" w:hAnsi="Times New Roman" w:cs="Times New Roman"/>
                <w:b/>
                <w:sz w:val="16"/>
                <w:szCs w:val="16"/>
                <w:lang w:val="en-US"/>
              </w:rPr>
            </w:pPr>
            <w:r w:rsidRPr="000C10AA">
              <w:rPr>
                <w:rFonts w:ascii="Times New Roman" w:hAnsi="Times New Roman" w:cs="Times New Roman"/>
                <w:b/>
                <w:sz w:val="16"/>
                <w:szCs w:val="16"/>
                <w:lang w:val="en-US"/>
              </w:rPr>
              <w:t>Repeat motif</w:t>
            </w:r>
          </w:p>
          <w:p w:rsidR="00C54BCC" w:rsidRPr="000C10AA" w:rsidRDefault="00C54BCC" w:rsidP="00C54BCC">
            <w:pPr>
              <w:spacing w:line="360" w:lineRule="auto"/>
              <w:jc w:val="center"/>
              <w:rPr>
                <w:rFonts w:ascii="Times New Roman" w:hAnsi="Times New Roman" w:cs="Times New Roman"/>
                <w:b/>
                <w:sz w:val="16"/>
                <w:szCs w:val="16"/>
                <w:lang w:val="en-US"/>
              </w:rPr>
            </w:pPr>
          </w:p>
        </w:tc>
        <w:tc>
          <w:tcPr>
            <w:tcW w:w="693" w:type="pct"/>
            <w:tcBorders>
              <w:top w:val="single" w:sz="12" w:space="0" w:color="auto"/>
              <w:bottom w:val="single" w:sz="12" w:space="0" w:color="auto"/>
            </w:tcBorders>
            <w:vAlign w:val="center"/>
          </w:tcPr>
          <w:p w:rsidR="00C54BCC" w:rsidRPr="000C10AA" w:rsidRDefault="00C54BCC" w:rsidP="00C54BCC">
            <w:pPr>
              <w:spacing w:line="360" w:lineRule="auto"/>
              <w:jc w:val="center"/>
              <w:rPr>
                <w:rFonts w:ascii="Times New Roman" w:hAnsi="Times New Roman" w:cs="Times New Roman"/>
                <w:b/>
                <w:sz w:val="16"/>
                <w:szCs w:val="16"/>
                <w:lang w:val="en-US"/>
              </w:rPr>
            </w:pPr>
            <w:r w:rsidRPr="000C10AA">
              <w:rPr>
                <w:rFonts w:ascii="Times New Roman" w:hAnsi="Times New Roman" w:cs="Times New Roman"/>
                <w:b/>
                <w:sz w:val="16"/>
                <w:szCs w:val="16"/>
                <w:lang w:val="en-US"/>
              </w:rPr>
              <w:t>Size range (</w:t>
            </w:r>
            <w:proofErr w:type="spellStart"/>
            <w:r w:rsidRPr="000C10AA">
              <w:rPr>
                <w:rFonts w:ascii="Times New Roman" w:hAnsi="Times New Roman" w:cs="Times New Roman"/>
                <w:b/>
                <w:sz w:val="16"/>
                <w:szCs w:val="16"/>
                <w:lang w:val="en-US"/>
              </w:rPr>
              <w:t>bp</w:t>
            </w:r>
            <w:proofErr w:type="spellEnd"/>
            <w:r w:rsidRPr="000C10AA">
              <w:rPr>
                <w:rFonts w:ascii="Times New Roman" w:hAnsi="Times New Roman" w:cs="Times New Roman"/>
                <w:b/>
                <w:sz w:val="16"/>
                <w:szCs w:val="16"/>
                <w:lang w:val="en-US"/>
              </w:rPr>
              <w:t>)</w:t>
            </w:r>
          </w:p>
          <w:p w:rsidR="00C54BCC" w:rsidRPr="000C10AA" w:rsidRDefault="00C54BCC" w:rsidP="00C54BCC">
            <w:pPr>
              <w:spacing w:line="360" w:lineRule="auto"/>
              <w:jc w:val="center"/>
              <w:rPr>
                <w:rFonts w:ascii="Times New Roman" w:hAnsi="Times New Roman" w:cs="Times New Roman"/>
                <w:b/>
                <w:sz w:val="16"/>
                <w:szCs w:val="16"/>
                <w:lang w:val="en-US"/>
              </w:rPr>
            </w:pPr>
          </w:p>
        </w:tc>
      </w:tr>
      <w:tr w:rsidR="00C54BCC" w:rsidRPr="00571BCB" w:rsidTr="00287A4A">
        <w:tc>
          <w:tcPr>
            <w:tcW w:w="509" w:type="pct"/>
            <w:vMerge w:val="restart"/>
            <w:tcBorders>
              <w:top w:val="single" w:sz="12" w:space="0" w:color="auto"/>
            </w:tcBorders>
            <w:vAlign w:val="center"/>
          </w:tcPr>
          <w:p w:rsidR="00C54BCC" w:rsidRPr="00571BCB" w:rsidRDefault="00C54BCC" w:rsidP="00C54BCC">
            <w:pPr>
              <w:spacing w:line="360" w:lineRule="auto"/>
              <w:jc w:val="center"/>
              <w:rPr>
                <w:rFonts w:ascii="Times New Roman" w:hAnsi="Times New Roman" w:cs="Times New Roman"/>
                <w:sz w:val="16"/>
                <w:szCs w:val="16"/>
                <w:lang w:val="en-US"/>
              </w:rPr>
            </w:pPr>
            <w:r w:rsidRPr="00571BCB">
              <w:rPr>
                <w:rFonts w:ascii="Times New Roman" w:hAnsi="Times New Roman" w:cs="Times New Roman"/>
                <w:sz w:val="16"/>
                <w:szCs w:val="16"/>
                <w:lang w:val="en-US"/>
              </w:rPr>
              <w:t>1</w:t>
            </w:r>
          </w:p>
        </w:tc>
        <w:tc>
          <w:tcPr>
            <w:tcW w:w="716" w:type="pct"/>
            <w:vMerge w:val="restart"/>
            <w:tcBorders>
              <w:top w:val="single" w:sz="12" w:space="0" w:color="auto"/>
            </w:tcBorders>
            <w:vAlign w:val="center"/>
          </w:tcPr>
          <w:p w:rsidR="00C54BCC" w:rsidRPr="00571BCB" w:rsidRDefault="00C54BCC" w:rsidP="00C54BCC">
            <w:pPr>
              <w:spacing w:line="360" w:lineRule="auto"/>
              <w:jc w:val="center"/>
              <w:rPr>
                <w:rFonts w:ascii="Times New Roman" w:hAnsi="Times New Roman" w:cs="Times New Roman"/>
                <w:sz w:val="16"/>
                <w:szCs w:val="16"/>
                <w:lang w:val="en-US"/>
              </w:rPr>
            </w:pPr>
            <w:r w:rsidRPr="00571BCB">
              <w:rPr>
                <w:rFonts w:ascii="Times New Roman" w:hAnsi="Times New Roman" w:cs="Times New Roman"/>
                <w:sz w:val="16"/>
                <w:szCs w:val="16"/>
                <w:lang w:val="en-US"/>
              </w:rPr>
              <w:t>FAM</w:t>
            </w:r>
          </w:p>
        </w:tc>
        <w:tc>
          <w:tcPr>
            <w:tcW w:w="361" w:type="pct"/>
            <w:tcBorders>
              <w:top w:val="single" w:sz="12" w:space="0" w:color="auto"/>
            </w:tcBorders>
            <w:vAlign w:val="center"/>
          </w:tcPr>
          <w:p w:rsidR="00C54BCC" w:rsidRPr="00571BCB" w:rsidRDefault="00C54BCC" w:rsidP="00C54BCC">
            <w:pPr>
              <w:spacing w:line="360" w:lineRule="auto"/>
              <w:jc w:val="center"/>
              <w:rPr>
                <w:rFonts w:ascii="Times New Roman" w:hAnsi="Times New Roman" w:cs="Times New Roman"/>
                <w:i/>
                <w:sz w:val="16"/>
                <w:szCs w:val="16"/>
                <w:lang w:val="en-US"/>
              </w:rPr>
            </w:pPr>
            <w:r w:rsidRPr="00571BCB">
              <w:rPr>
                <w:rFonts w:ascii="Times New Roman" w:hAnsi="Times New Roman" w:cs="Times New Roman"/>
                <w:i/>
                <w:sz w:val="16"/>
                <w:szCs w:val="16"/>
                <w:lang w:val="en-US"/>
              </w:rPr>
              <w:t>Sbr9</w:t>
            </w:r>
          </w:p>
        </w:tc>
        <w:tc>
          <w:tcPr>
            <w:tcW w:w="1611" w:type="pct"/>
            <w:tcBorders>
              <w:top w:val="single" w:sz="12" w:space="0" w:color="auto"/>
            </w:tcBorders>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lang w:val="en-US"/>
              </w:rPr>
              <w:t>F: GTCTTAAACGGAAGTGGGT</w:t>
            </w:r>
            <w:r w:rsidRPr="00571BCB">
              <w:rPr>
                <w:rFonts w:ascii="Times New Roman" w:hAnsi="Times New Roman" w:cs="Times New Roman"/>
                <w:sz w:val="16"/>
                <w:szCs w:val="16"/>
              </w:rPr>
              <w:t>T</w:t>
            </w:r>
          </w:p>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R: GGAGCAGCGTACTACTTTGT</w:t>
            </w:r>
          </w:p>
        </w:tc>
        <w:tc>
          <w:tcPr>
            <w:tcW w:w="1110" w:type="pct"/>
            <w:tcBorders>
              <w:top w:val="single" w:sz="12" w:space="0" w:color="auto"/>
            </w:tcBorders>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(GATA)</w:t>
            </w:r>
            <w:r w:rsidRPr="00571BCB">
              <w:rPr>
                <w:rFonts w:ascii="Times New Roman" w:hAnsi="Times New Roman" w:cs="Times New Roman"/>
                <w:sz w:val="16"/>
                <w:szCs w:val="16"/>
                <w:vertAlign w:val="subscript"/>
              </w:rPr>
              <w:t>10</w:t>
            </w:r>
          </w:p>
        </w:tc>
        <w:tc>
          <w:tcPr>
            <w:tcW w:w="693" w:type="pct"/>
            <w:tcBorders>
              <w:top w:val="single" w:sz="12" w:space="0" w:color="auto"/>
            </w:tcBorders>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311 – 367</w:t>
            </w:r>
          </w:p>
        </w:tc>
      </w:tr>
      <w:tr w:rsidR="00C54BCC" w:rsidRPr="00571BCB" w:rsidTr="00287A4A">
        <w:tc>
          <w:tcPr>
            <w:tcW w:w="509" w:type="pct"/>
            <w:vMerge/>
            <w:vAlign w:val="center"/>
          </w:tcPr>
          <w:p w:rsidR="00C54BCC" w:rsidRPr="00571BCB" w:rsidRDefault="00C54BCC" w:rsidP="00C54BCC">
            <w:pPr>
              <w:spacing w:line="360" w:lineRule="auto"/>
              <w:jc w:val="center"/>
              <w:rPr>
                <w:rFonts w:ascii="Times New Roman" w:hAnsi="Times New Roman" w:cs="Times New Roman"/>
                <w:sz w:val="16"/>
                <w:szCs w:val="16"/>
              </w:rPr>
            </w:pPr>
          </w:p>
        </w:tc>
        <w:tc>
          <w:tcPr>
            <w:tcW w:w="716" w:type="pct"/>
            <w:vMerge/>
            <w:vAlign w:val="center"/>
          </w:tcPr>
          <w:p w:rsidR="00C54BCC" w:rsidRPr="00571BCB" w:rsidRDefault="00C54BCC" w:rsidP="00C54BCC">
            <w:pPr>
              <w:spacing w:line="360" w:lineRule="auto"/>
              <w:jc w:val="center"/>
              <w:rPr>
                <w:rFonts w:ascii="Times New Roman" w:hAnsi="Times New Roman" w:cs="Times New Roman"/>
                <w:sz w:val="16"/>
                <w:szCs w:val="16"/>
              </w:rPr>
            </w:pPr>
          </w:p>
        </w:tc>
        <w:tc>
          <w:tcPr>
            <w:tcW w:w="361" w:type="pct"/>
            <w:vAlign w:val="center"/>
          </w:tcPr>
          <w:p w:rsidR="00C54BCC" w:rsidRPr="00571BCB" w:rsidRDefault="00C54BCC" w:rsidP="00C54BCC">
            <w:pPr>
              <w:spacing w:line="360" w:lineRule="auto"/>
              <w:jc w:val="center"/>
              <w:rPr>
                <w:rFonts w:ascii="Times New Roman" w:hAnsi="Times New Roman" w:cs="Times New Roman"/>
                <w:i/>
                <w:sz w:val="16"/>
                <w:szCs w:val="16"/>
              </w:rPr>
            </w:pPr>
            <w:r w:rsidRPr="00571BCB">
              <w:rPr>
                <w:rFonts w:ascii="Times New Roman" w:hAnsi="Times New Roman" w:cs="Times New Roman"/>
                <w:i/>
                <w:sz w:val="16"/>
                <w:szCs w:val="16"/>
              </w:rPr>
              <w:t>Sbr24</w:t>
            </w:r>
          </w:p>
        </w:tc>
        <w:tc>
          <w:tcPr>
            <w:tcW w:w="1611"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F: ATTTTGATGTTTCGCCATGAA</w:t>
            </w:r>
          </w:p>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R: GCCCACCAACAACTGCTATTA</w:t>
            </w:r>
          </w:p>
        </w:tc>
        <w:tc>
          <w:tcPr>
            <w:tcW w:w="1110"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(CAGA)</w:t>
            </w:r>
            <w:r w:rsidRPr="00571BCB">
              <w:rPr>
                <w:rFonts w:ascii="Times New Roman" w:hAnsi="Times New Roman" w:cs="Times New Roman"/>
                <w:sz w:val="16"/>
                <w:szCs w:val="16"/>
                <w:vertAlign w:val="subscript"/>
              </w:rPr>
              <w:t>8</w:t>
            </w:r>
          </w:p>
        </w:tc>
        <w:tc>
          <w:tcPr>
            <w:tcW w:w="693"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180 – 216</w:t>
            </w:r>
          </w:p>
        </w:tc>
      </w:tr>
      <w:tr w:rsidR="00C54BCC" w:rsidRPr="00571BCB" w:rsidTr="00287A4A">
        <w:tc>
          <w:tcPr>
            <w:tcW w:w="509" w:type="pct"/>
            <w:vMerge/>
            <w:vAlign w:val="center"/>
          </w:tcPr>
          <w:p w:rsidR="00C54BCC" w:rsidRPr="00571BCB" w:rsidRDefault="00C54BCC" w:rsidP="00C54BCC">
            <w:pPr>
              <w:spacing w:line="360" w:lineRule="auto"/>
              <w:jc w:val="center"/>
              <w:rPr>
                <w:rFonts w:ascii="Times New Roman" w:hAnsi="Times New Roman" w:cs="Times New Roman"/>
                <w:sz w:val="16"/>
                <w:szCs w:val="16"/>
              </w:rPr>
            </w:pPr>
          </w:p>
        </w:tc>
        <w:tc>
          <w:tcPr>
            <w:tcW w:w="716" w:type="pct"/>
            <w:vMerge/>
            <w:vAlign w:val="center"/>
          </w:tcPr>
          <w:p w:rsidR="00C54BCC" w:rsidRPr="00571BCB" w:rsidRDefault="00C54BCC" w:rsidP="00C54BCC">
            <w:pPr>
              <w:spacing w:line="360" w:lineRule="auto"/>
              <w:jc w:val="center"/>
              <w:rPr>
                <w:rFonts w:ascii="Times New Roman" w:hAnsi="Times New Roman" w:cs="Times New Roman"/>
                <w:sz w:val="16"/>
                <w:szCs w:val="16"/>
              </w:rPr>
            </w:pPr>
          </w:p>
        </w:tc>
        <w:tc>
          <w:tcPr>
            <w:tcW w:w="361" w:type="pct"/>
            <w:vAlign w:val="center"/>
          </w:tcPr>
          <w:p w:rsidR="00C54BCC" w:rsidRPr="00571BCB" w:rsidRDefault="00C54BCC" w:rsidP="00C54BCC">
            <w:pPr>
              <w:spacing w:line="360" w:lineRule="auto"/>
              <w:jc w:val="center"/>
              <w:rPr>
                <w:rFonts w:ascii="Times New Roman" w:hAnsi="Times New Roman" w:cs="Times New Roman"/>
                <w:i/>
                <w:sz w:val="16"/>
                <w:szCs w:val="16"/>
              </w:rPr>
            </w:pPr>
            <w:r w:rsidRPr="00571BCB">
              <w:rPr>
                <w:rFonts w:ascii="Times New Roman" w:hAnsi="Times New Roman" w:cs="Times New Roman"/>
                <w:i/>
                <w:sz w:val="16"/>
                <w:szCs w:val="16"/>
              </w:rPr>
              <w:t>Sbr35</w:t>
            </w:r>
          </w:p>
        </w:tc>
        <w:tc>
          <w:tcPr>
            <w:tcW w:w="1611"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F: TGCTCCCTCTGCTTCTGTAAC</w:t>
            </w:r>
          </w:p>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R: ATGGTACACACATGCACCTCA</w:t>
            </w:r>
          </w:p>
        </w:tc>
        <w:tc>
          <w:tcPr>
            <w:tcW w:w="1110"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(CA)</w:t>
            </w:r>
            <w:r w:rsidRPr="00571BCB">
              <w:rPr>
                <w:rFonts w:ascii="Times New Roman" w:hAnsi="Times New Roman" w:cs="Times New Roman"/>
                <w:sz w:val="16"/>
                <w:szCs w:val="16"/>
                <w:vertAlign w:val="subscript"/>
              </w:rPr>
              <w:t>14</w:t>
            </w:r>
          </w:p>
        </w:tc>
        <w:tc>
          <w:tcPr>
            <w:tcW w:w="693"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118 – 174</w:t>
            </w:r>
          </w:p>
        </w:tc>
      </w:tr>
      <w:tr w:rsidR="00C54BCC" w:rsidRPr="00571BCB" w:rsidTr="00287A4A">
        <w:tc>
          <w:tcPr>
            <w:tcW w:w="509" w:type="pct"/>
            <w:vMerge w:val="restar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2</w:t>
            </w:r>
          </w:p>
        </w:tc>
        <w:tc>
          <w:tcPr>
            <w:tcW w:w="716" w:type="pct"/>
            <w:vMerge w:val="restar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VIC</w:t>
            </w:r>
          </w:p>
        </w:tc>
        <w:tc>
          <w:tcPr>
            <w:tcW w:w="361" w:type="pct"/>
            <w:vAlign w:val="center"/>
          </w:tcPr>
          <w:p w:rsidR="00C54BCC" w:rsidRPr="00571BCB" w:rsidRDefault="00C54BCC" w:rsidP="00C54BCC">
            <w:pPr>
              <w:spacing w:line="360" w:lineRule="auto"/>
              <w:jc w:val="center"/>
              <w:rPr>
                <w:rFonts w:ascii="Times New Roman" w:hAnsi="Times New Roman" w:cs="Times New Roman"/>
                <w:i/>
                <w:sz w:val="16"/>
                <w:szCs w:val="16"/>
              </w:rPr>
            </w:pPr>
            <w:r w:rsidRPr="00571BCB">
              <w:rPr>
                <w:rFonts w:ascii="Times New Roman" w:hAnsi="Times New Roman" w:cs="Times New Roman"/>
                <w:i/>
                <w:sz w:val="16"/>
                <w:szCs w:val="16"/>
              </w:rPr>
              <w:t>Sca44</w:t>
            </w:r>
          </w:p>
        </w:tc>
        <w:tc>
          <w:tcPr>
            <w:tcW w:w="1611"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F: ATGGCCAAATGGCACATAATCA</w:t>
            </w:r>
          </w:p>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R: GGGCAGCTCCATGGGTCTGAGT</w:t>
            </w:r>
          </w:p>
        </w:tc>
        <w:tc>
          <w:tcPr>
            <w:tcW w:w="1110"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(GACA)</w:t>
            </w:r>
            <w:r w:rsidRPr="00571BCB">
              <w:rPr>
                <w:rFonts w:ascii="Times New Roman" w:hAnsi="Times New Roman" w:cs="Times New Roman"/>
                <w:sz w:val="16"/>
                <w:szCs w:val="16"/>
                <w:vertAlign w:val="subscript"/>
              </w:rPr>
              <w:t>9</w:t>
            </w:r>
          </w:p>
        </w:tc>
        <w:tc>
          <w:tcPr>
            <w:tcW w:w="693"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160 – 196</w:t>
            </w:r>
          </w:p>
        </w:tc>
      </w:tr>
      <w:tr w:rsidR="00C54BCC" w:rsidRPr="00571BCB" w:rsidTr="00287A4A">
        <w:tc>
          <w:tcPr>
            <w:tcW w:w="509" w:type="pct"/>
            <w:vMerge/>
            <w:vAlign w:val="center"/>
          </w:tcPr>
          <w:p w:rsidR="00C54BCC" w:rsidRPr="00571BCB" w:rsidRDefault="00C54BCC" w:rsidP="00C54BCC">
            <w:pPr>
              <w:spacing w:line="360" w:lineRule="auto"/>
              <w:jc w:val="center"/>
              <w:rPr>
                <w:rFonts w:ascii="Times New Roman" w:hAnsi="Times New Roman" w:cs="Times New Roman"/>
                <w:sz w:val="16"/>
                <w:szCs w:val="16"/>
              </w:rPr>
            </w:pPr>
          </w:p>
        </w:tc>
        <w:tc>
          <w:tcPr>
            <w:tcW w:w="716" w:type="pct"/>
            <w:vMerge/>
            <w:vAlign w:val="center"/>
          </w:tcPr>
          <w:p w:rsidR="00C54BCC" w:rsidRPr="00571BCB" w:rsidRDefault="00C54BCC" w:rsidP="00C54BCC">
            <w:pPr>
              <w:spacing w:line="360" w:lineRule="auto"/>
              <w:jc w:val="center"/>
              <w:rPr>
                <w:rFonts w:ascii="Times New Roman" w:hAnsi="Times New Roman" w:cs="Times New Roman"/>
                <w:sz w:val="16"/>
                <w:szCs w:val="16"/>
              </w:rPr>
            </w:pPr>
          </w:p>
        </w:tc>
        <w:tc>
          <w:tcPr>
            <w:tcW w:w="361" w:type="pct"/>
            <w:vAlign w:val="center"/>
          </w:tcPr>
          <w:p w:rsidR="00C54BCC" w:rsidRPr="00571BCB" w:rsidRDefault="00C54BCC" w:rsidP="00C54BCC">
            <w:pPr>
              <w:spacing w:line="360" w:lineRule="auto"/>
              <w:jc w:val="center"/>
              <w:rPr>
                <w:rFonts w:ascii="Times New Roman" w:hAnsi="Times New Roman" w:cs="Times New Roman"/>
                <w:i/>
                <w:sz w:val="16"/>
                <w:szCs w:val="16"/>
              </w:rPr>
            </w:pPr>
            <w:r w:rsidRPr="00571BCB">
              <w:rPr>
                <w:rFonts w:ascii="Times New Roman" w:hAnsi="Times New Roman" w:cs="Times New Roman"/>
                <w:i/>
                <w:sz w:val="16"/>
                <w:szCs w:val="16"/>
              </w:rPr>
              <w:t>Sbr28</w:t>
            </w:r>
          </w:p>
        </w:tc>
        <w:tc>
          <w:tcPr>
            <w:tcW w:w="1611"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F: TGGCTGATTTTGTTGATGTTG</w:t>
            </w:r>
          </w:p>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R: TGCAGATTCTACAGGCGAGAT</w:t>
            </w:r>
          </w:p>
        </w:tc>
        <w:tc>
          <w:tcPr>
            <w:tcW w:w="1110"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(GATA)</w:t>
            </w:r>
            <w:r w:rsidRPr="00571BCB">
              <w:rPr>
                <w:rFonts w:ascii="Times New Roman" w:hAnsi="Times New Roman" w:cs="Times New Roman"/>
                <w:sz w:val="16"/>
                <w:szCs w:val="16"/>
                <w:vertAlign w:val="subscript"/>
              </w:rPr>
              <w:t>6</w:t>
            </w:r>
          </w:p>
        </w:tc>
        <w:tc>
          <w:tcPr>
            <w:tcW w:w="693"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327 – 363</w:t>
            </w:r>
          </w:p>
        </w:tc>
      </w:tr>
      <w:tr w:rsidR="00C54BCC" w:rsidRPr="00571BCB" w:rsidTr="00287A4A">
        <w:tc>
          <w:tcPr>
            <w:tcW w:w="509" w:type="pct"/>
            <w:vMerge w:val="restar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3</w:t>
            </w:r>
          </w:p>
        </w:tc>
        <w:tc>
          <w:tcPr>
            <w:tcW w:w="716" w:type="pct"/>
            <w:vMerge w:val="restar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NED</w:t>
            </w:r>
          </w:p>
        </w:tc>
        <w:tc>
          <w:tcPr>
            <w:tcW w:w="361" w:type="pct"/>
            <w:vAlign w:val="center"/>
          </w:tcPr>
          <w:p w:rsidR="00C54BCC" w:rsidRPr="00571BCB" w:rsidRDefault="00C54BCC" w:rsidP="00C54BCC">
            <w:pPr>
              <w:spacing w:line="360" w:lineRule="auto"/>
              <w:jc w:val="center"/>
              <w:rPr>
                <w:rFonts w:ascii="Times New Roman" w:hAnsi="Times New Roman" w:cs="Times New Roman"/>
                <w:i/>
                <w:sz w:val="16"/>
                <w:szCs w:val="16"/>
              </w:rPr>
            </w:pPr>
            <w:r w:rsidRPr="00571BCB">
              <w:rPr>
                <w:rFonts w:ascii="Times New Roman" w:hAnsi="Times New Roman" w:cs="Times New Roman"/>
                <w:i/>
                <w:sz w:val="16"/>
                <w:szCs w:val="16"/>
              </w:rPr>
              <w:t>Sbr18</w:t>
            </w:r>
          </w:p>
        </w:tc>
        <w:tc>
          <w:tcPr>
            <w:tcW w:w="1611"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F: TCCTGCTGCAGTATGTGAATG</w:t>
            </w:r>
          </w:p>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R: TTTGTCCCTCTCCCTAATGCT</w:t>
            </w:r>
          </w:p>
        </w:tc>
        <w:tc>
          <w:tcPr>
            <w:tcW w:w="1110"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(GACA)</w:t>
            </w:r>
            <w:r w:rsidRPr="00571BCB">
              <w:rPr>
                <w:rFonts w:ascii="Times New Roman" w:hAnsi="Times New Roman" w:cs="Times New Roman"/>
                <w:sz w:val="16"/>
                <w:szCs w:val="16"/>
                <w:vertAlign w:val="subscript"/>
              </w:rPr>
              <w:t>6</w:t>
            </w:r>
            <w:r w:rsidRPr="00571BCB">
              <w:rPr>
                <w:rFonts w:ascii="Times New Roman" w:hAnsi="Times New Roman" w:cs="Times New Roman"/>
                <w:sz w:val="16"/>
                <w:szCs w:val="16"/>
              </w:rPr>
              <w:t>(GATA)</w:t>
            </w:r>
            <w:r w:rsidRPr="00571BCB">
              <w:rPr>
                <w:rFonts w:ascii="Times New Roman" w:hAnsi="Times New Roman" w:cs="Times New Roman"/>
                <w:sz w:val="16"/>
                <w:szCs w:val="16"/>
                <w:vertAlign w:val="subscript"/>
              </w:rPr>
              <w:t>12</w:t>
            </w:r>
          </w:p>
        </w:tc>
        <w:tc>
          <w:tcPr>
            <w:tcW w:w="693"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276 – 452</w:t>
            </w:r>
          </w:p>
        </w:tc>
      </w:tr>
      <w:tr w:rsidR="00C54BCC" w:rsidRPr="00571BCB" w:rsidTr="00287A4A">
        <w:tc>
          <w:tcPr>
            <w:tcW w:w="509" w:type="pct"/>
            <w:vMerge/>
            <w:vAlign w:val="center"/>
          </w:tcPr>
          <w:p w:rsidR="00C54BCC" w:rsidRPr="00571BCB" w:rsidRDefault="00C54BCC" w:rsidP="00C54BCC">
            <w:pPr>
              <w:spacing w:line="360" w:lineRule="auto"/>
              <w:jc w:val="center"/>
              <w:rPr>
                <w:rFonts w:ascii="Times New Roman" w:hAnsi="Times New Roman" w:cs="Times New Roman"/>
                <w:sz w:val="16"/>
                <w:szCs w:val="16"/>
              </w:rPr>
            </w:pPr>
          </w:p>
        </w:tc>
        <w:tc>
          <w:tcPr>
            <w:tcW w:w="716" w:type="pct"/>
            <w:vMerge/>
            <w:vAlign w:val="center"/>
          </w:tcPr>
          <w:p w:rsidR="00C54BCC" w:rsidRPr="00571BCB" w:rsidRDefault="00C54BCC" w:rsidP="00C54BCC">
            <w:pPr>
              <w:spacing w:line="360" w:lineRule="auto"/>
              <w:jc w:val="center"/>
              <w:rPr>
                <w:rFonts w:ascii="Times New Roman" w:hAnsi="Times New Roman" w:cs="Times New Roman"/>
                <w:sz w:val="16"/>
                <w:szCs w:val="16"/>
              </w:rPr>
            </w:pPr>
          </w:p>
        </w:tc>
        <w:tc>
          <w:tcPr>
            <w:tcW w:w="361" w:type="pct"/>
            <w:vAlign w:val="center"/>
          </w:tcPr>
          <w:p w:rsidR="00C54BCC" w:rsidRPr="00571BCB" w:rsidRDefault="00C54BCC" w:rsidP="00C54BCC">
            <w:pPr>
              <w:spacing w:line="360" w:lineRule="auto"/>
              <w:jc w:val="center"/>
              <w:rPr>
                <w:rFonts w:ascii="Times New Roman" w:hAnsi="Times New Roman" w:cs="Times New Roman"/>
                <w:i/>
                <w:sz w:val="16"/>
                <w:szCs w:val="16"/>
              </w:rPr>
            </w:pPr>
            <w:r w:rsidRPr="00571BCB">
              <w:rPr>
                <w:rFonts w:ascii="Times New Roman" w:hAnsi="Times New Roman" w:cs="Times New Roman"/>
                <w:i/>
                <w:sz w:val="16"/>
                <w:szCs w:val="16"/>
              </w:rPr>
              <w:t>Sbr36</w:t>
            </w:r>
          </w:p>
        </w:tc>
        <w:tc>
          <w:tcPr>
            <w:tcW w:w="1611"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F: CCTGCTAGGCAGTGCAATATC</w:t>
            </w:r>
          </w:p>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R: TCACCCTAAGAGAGGGAGAGG</w:t>
            </w:r>
          </w:p>
        </w:tc>
        <w:tc>
          <w:tcPr>
            <w:tcW w:w="1110"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(GATA)</w:t>
            </w:r>
            <w:r w:rsidRPr="00571BCB">
              <w:rPr>
                <w:rFonts w:ascii="Times New Roman" w:hAnsi="Times New Roman" w:cs="Times New Roman"/>
                <w:sz w:val="16"/>
                <w:szCs w:val="16"/>
                <w:vertAlign w:val="subscript"/>
              </w:rPr>
              <w:t>5</w:t>
            </w:r>
            <w:r w:rsidRPr="00571BCB">
              <w:rPr>
                <w:rFonts w:ascii="Times New Roman" w:hAnsi="Times New Roman" w:cs="Times New Roman"/>
                <w:sz w:val="16"/>
                <w:szCs w:val="16"/>
              </w:rPr>
              <w:t>4bp(GATA)</w:t>
            </w:r>
            <w:r w:rsidRPr="00571BCB">
              <w:rPr>
                <w:rFonts w:ascii="Times New Roman" w:hAnsi="Times New Roman" w:cs="Times New Roman"/>
                <w:sz w:val="16"/>
                <w:szCs w:val="16"/>
                <w:vertAlign w:val="subscript"/>
              </w:rPr>
              <w:t>2</w:t>
            </w:r>
          </w:p>
        </w:tc>
        <w:tc>
          <w:tcPr>
            <w:tcW w:w="693"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152 – 176</w:t>
            </w:r>
          </w:p>
        </w:tc>
      </w:tr>
      <w:tr w:rsidR="00C54BCC" w:rsidRPr="00571BCB" w:rsidTr="00287A4A">
        <w:tc>
          <w:tcPr>
            <w:tcW w:w="509" w:type="pct"/>
            <w:vMerge w:val="restar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4</w:t>
            </w:r>
          </w:p>
        </w:tc>
        <w:tc>
          <w:tcPr>
            <w:tcW w:w="716" w:type="pct"/>
            <w:vMerge w:val="restar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PET</w:t>
            </w:r>
          </w:p>
        </w:tc>
        <w:tc>
          <w:tcPr>
            <w:tcW w:w="361" w:type="pct"/>
            <w:vAlign w:val="center"/>
          </w:tcPr>
          <w:p w:rsidR="00C54BCC" w:rsidRPr="00571BCB" w:rsidRDefault="00C54BCC" w:rsidP="00C54BCC">
            <w:pPr>
              <w:spacing w:line="360" w:lineRule="auto"/>
              <w:jc w:val="center"/>
              <w:rPr>
                <w:rFonts w:ascii="Times New Roman" w:hAnsi="Times New Roman" w:cs="Times New Roman"/>
                <w:i/>
                <w:sz w:val="16"/>
                <w:szCs w:val="16"/>
              </w:rPr>
            </w:pPr>
            <w:r w:rsidRPr="00571BCB">
              <w:rPr>
                <w:rFonts w:ascii="Times New Roman" w:hAnsi="Times New Roman" w:cs="Times New Roman"/>
                <w:i/>
                <w:sz w:val="16"/>
                <w:szCs w:val="16"/>
              </w:rPr>
              <w:t>Sbr26</w:t>
            </w:r>
          </w:p>
        </w:tc>
        <w:tc>
          <w:tcPr>
            <w:tcW w:w="1611"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F: TACCTGAAAGGCATCCAACAC</w:t>
            </w:r>
          </w:p>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R: ATTGCAGCACTGATGTGTGTC</w:t>
            </w:r>
          </w:p>
        </w:tc>
        <w:tc>
          <w:tcPr>
            <w:tcW w:w="1110"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(CA)</w:t>
            </w:r>
            <w:r w:rsidRPr="00571BCB">
              <w:rPr>
                <w:rFonts w:ascii="Times New Roman" w:hAnsi="Times New Roman" w:cs="Times New Roman"/>
                <w:sz w:val="16"/>
                <w:szCs w:val="16"/>
                <w:vertAlign w:val="subscript"/>
              </w:rPr>
              <w:t>15</w:t>
            </w:r>
          </w:p>
        </w:tc>
        <w:tc>
          <w:tcPr>
            <w:tcW w:w="693" w:type="pct"/>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253 – 297</w:t>
            </w:r>
          </w:p>
        </w:tc>
      </w:tr>
      <w:tr w:rsidR="00C54BCC" w:rsidRPr="00571BCB" w:rsidTr="00287A4A">
        <w:tc>
          <w:tcPr>
            <w:tcW w:w="509" w:type="pct"/>
            <w:vMerge/>
            <w:tcBorders>
              <w:bottom w:val="single" w:sz="12" w:space="0" w:color="auto"/>
            </w:tcBorders>
            <w:vAlign w:val="center"/>
          </w:tcPr>
          <w:p w:rsidR="00C54BCC" w:rsidRPr="00571BCB" w:rsidRDefault="00C54BCC" w:rsidP="00C54BCC">
            <w:pPr>
              <w:spacing w:line="360" w:lineRule="auto"/>
              <w:jc w:val="center"/>
              <w:rPr>
                <w:rFonts w:ascii="Times New Roman" w:hAnsi="Times New Roman" w:cs="Times New Roman"/>
                <w:sz w:val="16"/>
                <w:szCs w:val="16"/>
              </w:rPr>
            </w:pPr>
          </w:p>
        </w:tc>
        <w:tc>
          <w:tcPr>
            <w:tcW w:w="716" w:type="pct"/>
            <w:vMerge/>
            <w:tcBorders>
              <w:bottom w:val="single" w:sz="12" w:space="0" w:color="auto"/>
            </w:tcBorders>
            <w:vAlign w:val="center"/>
          </w:tcPr>
          <w:p w:rsidR="00C54BCC" w:rsidRPr="00571BCB" w:rsidRDefault="00C54BCC" w:rsidP="00C54BCC">
            <w:pPr>
              <w:spacing w:line="360" w:lineRule="auto"/>
              <w:jc w:val="center"/>
              <w:rPr>
                <w:rFonts w:ascii="Times New Roman" w:hAnsi="Times New Roman" w:cs="Times New Roman"/>
                <w:sz w:val="16"/>
                <w:szCs w:val="16"/>
              </w:rPr>
            </w:pPr>
          </w:p>
        </w:tc>
        <w:tc>
          <w:tcPr>
            <w:tcW w:w="361" w:type="pct"/>
            <w:tcBorders>
              <w:bottom w:val="single" w:sz="12" w:space="0" w:color="auto"/>
            </w:tcBorders>
            <w:vAlign w:val="center"/>
          </w:tcPr>
          <w:p w:rsidR="00C54BCC" w:rsidRPr="00571BCB" w:rsidRDefault="00C54BCC" w:rsidP="00C54BCC">
            <w:pPr>
              <w:spacing w:line="360" w:lineRule="auto"/>
              <w:jc w:val="center"/>
              <w:rPr>
                <w:rFonts w:ascii="Times New Roman" w:hAnsi="Times New Roman" w:cs="Times New Roman"/>
                <w:i/>
                <w:sz w:val="16"/>
                <w:szCs w:val="16"/>
              </w:rPr>
            </w:pPr>
            <w:r w:rsidRPr="00571BCB">
              <w:rPr>
                <w:rFonts w:ascii="Times New Roman" w:hAnsi="Times New Roman" w:cs="Times New Roman"/>
                <w:i/>
                <w:sz w:val="16"/>
                <w:szCs w:val="16"/>
              </w:rPr>
              <w:t>Sni26</w:t>
            </w:r>
          </w:p>
        </w:tc>
        <w:tc>
          <w:tcPr>
            <w:tcW w:w="1611" w:type="pct"/>
            <w:tcBorders>
              <w:bottom w:val="single" w:sz="12" w:space="0" w:color="auto"/>
            </w:tcBorders>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F: AACAACCTCTTAGGAGCTGACG</w:t>
            </w:r>
          </w:p>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R: GATCGCTCTCAGATACATGCC</w:t>
            </w:r>
          </w:p>
        </w:tc>
        <w:tc>
          <w:tcPr>
            <w:tcW w:w="1110" w:type="pct"/>
            <w:tcBorders>
              <w:bottom w:val="single" w:sz="12" w:space="0" w:color="auto"/>
            </w:tcBorders>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(CA)</w:t>
            </w:r>
            <w:r w:rsidRPr="00571BCB">
              <w:rPr>
                <w:rFonts w:ascii="Times New Roman" w:hAnsi="Times New Roman" w:cs="Times New Roman"/>
                <w:sz w:val="16"/>
                <w:szCs w:val="16"/>
                <w:vertAlign w:val="subscript"/>
              </w:rPr>
              <w:t>15</w:t>
            </w:r>
          </w:p>
        </w:tc>
        <w:tc>
          <w:tcPr>
            <w:tcW w:w="693" w:type="pct"/>
            <w:tcBorders>
              <w:bottom w:val="single" w:sz="12" w:space="0" w:color="auto"/>
            </w:tcBorders>
            <w:vAlign w:val="center"/>
          </w:tcPr>
          <w:p w:rsidR="00C54BCC" w:rsidRPr="00571BCB" w:rsidRDefault="00C54BCC" w:rsidP="00C54BCC">
            <w:pPr>
              <w:spacing w:line="360" w:lineRule="auto"/>
              <w:jc w:val="center"/>
              <w:rPr>
                <w:rFonts w:ascii="Times New Roman" w:hAnsi="Times New Roman" w:cs="Times New Roman"/>
                <w:sz w:val="16"/>
                <w:szCs w:val="16"/>
              </w:rPr>
            </w:pPr>
            <w:r w:rsidRPr="00571BCB">
              <w:rPr>
                <w:rFonts w:ascii="Times New Roman" w:hAnsi="Times New Roman" w:cs="Times New Roman"/>
                <w:sz w:val="16"/>
                <w:szCs w:val="16"/>
              </w:rPr>
              <w:t>126 – 184</w:t>
            </w:r>
          </w:p>
        </w:tc>
      </w:tr>
    </w:tbl>
    <w:p w:rsidR="00C54BCC" w:rsidRPr="00C54BCC" w:rsidRDefault="00C54BCC" w:rsidP="00C54BCC">
      <w:pPr>
        <w:spacing w:after="0" w:line="360" w:lineRule="auto"/>
        <w:rPr>
          <w:rFonts w:ascii="Times New Roman" w:hAnsi="Times New Roman" w:cs="Times New Roman"/>
          <w:sz w:val="20"/>
          <w:szCs w:val="20"/>
          <w:lang w:val="en-US"/>
        </w:rPr>
      </w:pPr>
      <w:r w:rsidRPr="00571BCB">
        <w:rPr>
          <w:rFonts w:ascii="Times New Roman" w:hAnsi="Times New Roman" w:cs="Times New Roman"/>
          <w:b/>
          <w:sz w:val="24"/>
          <w:szCs w:val="24"/>
          <w:lang w:val="en-US"/>
        </w:rPr>
        <w:t xml:space="preserve">Summary data for the microsatellites characterized for </w:t>
      </w:r>
      <w:r w:rsidRPr="00571BCB">
        <w:rPr>
          <w:rFonts w:ascii="Times New Roman" w:hAnsi="Times New Roman" w:cs="Times New Roman"/>
          <w:b/>
          <w:i/>
          <w:sz w:val="24"/>
          <w:szCs w:val="24"/>
          <w:lang w:val="en-US"/>
        </w:rPr>
        <w:t>S. concolor</w:t>
      </w:r>
      <w:r w:rsidRPr="00571BCB">
        <w:rPr>
          <w:rFonts w:ascii="Times New Roman" w:hAnsi="Times New Roman" w:cs="Times New Roman"/>
          <w:b/>
          <w:sz w:val="24"/>
          <w:szCs w:val="24"/>
          <w:lang w:val="en-US"/>
        </w:rPr>
        <w:t xml:space="preserve"> individuals.</w:t>
      </w:r>
      <w:r w:rsidRPr="00571BCB">
        <w:rPr>
          <w:rFonts w:ascii="Times New Roman" w:hAnsi="Times New Roman" w:cs="Times New Roman"/>
          <w:b/>
          <w:i/>
          <w:sz w:val="24"/>
          <w:szCs w:val="24"/>
          <w:lang w:val="en-US"/>
        </w:rPr>
        <w:t xml:space="preserve"> </w:t>
      </w:r>
      <w:bookmarkStart w:id="0" w:name="_GoBack"/>
      <w:bookmarkEnd w:id="0"/>
    </w:p>
    <w:p w:rsidR="00C54BCC" w:rsidRPr="00571BCB" w:rsidRDefault="00C54BCC" w:rsidP="00C54BCC">
      <w:pPr>
        <w:spacing w:after="0" w:line="360" w:lineRule="auto"/>
        <w:rPr>
          <w:rFonts w:ascii="Times New Roman" w:hAnsi="Times New Roman" w:cs="Times New Roman"/>
          <w:szCs w:val="20"/>
          <w:lang w:val="en-US"/>
        </w:rPr>
      </w:pPr>
      <w:r w:rsidRPr="00571BCB">
        <w:rPr>
          <w:rFonts w:ascii="Times New Roman" w:hAnsi="Times New Roman" w:cs="Times New Roman"/>
          <w:szCs w:val="20"/>
          <w:lang w:val="en-US"/>
        </w:rPr>
        <w:t xml:space="preserve">Multiplex–PCR sets. </w:t>
      </w:r>
      <w:proofErr w:type="spellStart"/>
      <w:r w:rsidRPr="00571BCB">
        <w:rPr>
          <w:rFonts w:ascii="Times New Roman" w:hAnsi="Times New Roman" w:cs="Times New Roman"/>
          <w:i/>
          <w:szCs w:val="20"/>
          <w:lang w:val="en-US"/>
        </w:rPr>
        <w:t>Sbr</w:t>
      </w:r>
      <w:proofErr w:type="spellEnd"/>
      <w:r w:rsidRPr="00571BCB">
        <w:rPr>
          <w:rFonts w:ascii="Times New Roman" w:hAnsi="Times New Roman" w:cs="Times New Roman"/>
          <w:szCs w:val="20"/>
          <w:lang w:val="en-US"/>
        </w:rPr>
        <w:t xml:space="preserve">, </w:t>
      </w:r>
      <w:proofErr w:type="spellStart"/>
      <w:r w:rsidRPr="00571BCB">
        <w:rPr>
          <w:rFonts w:ascii="Times New Roman" w:hAnsi="Times New Roman" w:cs="Times New Roman"/>
          <w:i/>
          <w:szCs w:val="20"/>
          <w:lang w:val="en-US"/>
        </w:rPr>
        <w:t>Sca</w:t>
      </w:r>
      <w:proofErr w:type="spellEnd"/>
      <w:r w:rsidRPr="00571BCB">
        <w:rPr>
          <w:rFonts w:ascii="Times New Roman" w:hAnsi="Times New Roman" w:cs="Times New Roman"/>
          <w:szCs w:val="20"/>
          <w:lang w:val="en-US"/>
        </w:rPr>
        <w:t xml:space="preserve"> and </w:t>
      </w:r>
      <w:proofErr w:type="spellStart"/>
      <w:r w:rsidRPr="00571BCB">
        <w:rPr>
          <w:rFonts w:ascii="Times New Roman" w:hAnsi="Times New Roman" w:cs="Times New Roman"/>
          <w:i/>
          <w:szCs w:val="20"/>
          <w:lang w:val="en-US"/>
        </w:rPr>
        <w:t>Sni</w:t>
      </w:r>
      <w:proofErr w:type="spellEnd"/>
      <w:r w:rsidRPr="00571BCB">
        <w:rPr>
          <w:rFonts w:ascii="Times New Roman" w:hAnsi="Times New Roman" w:cs="Times New Roman"/>
          <w:szCs w:val="20"/>
          <w:lang w:val="en-US"/>
        </w:rPr>
        <w:t xml:space="preserve"> loci were previously isolated in </w:t>
      </w:r>
      <w:r w:rsidRPr="00571BCB">
        <w:rPr>
          <w:rFonts w:ascii="Times New Roman" w:hAnsi="Times New Roman" w:cs="Times New Roman"/>
          <w:i/>
          <w:szCs w:val="20"/>
          <w:lang w:val="en-US"/>
        </w:rPr>
        <w:t>Scomberomorus brasiliensis</w:t>
      </w:r>
      <w:r w:rsidRPr="00571BCB">
        <w:rPr>
          <w:rFonts w:ascii="Times New Roman" w:hAnsi="Times New Roman" w:cs="Times New Roman"/>
          <w:szCs w:val="20"/>
          <w:lang w:val="en-US"/>
        </w:rPr>
        <w:t xml:space="preserve"> </w:t>
      </w:r>
      <w:r w:rsidRPr="00571BCB">
        <w:rPr>
          <w:rFonts w:ascii="Times New Roman" w:hAnsi="Times New Roman" w:cs="Times New Roman"/>
          <w:szCs w:val="20"/>
          <w:lang w:val="en-US"/>
        </w:rPr>
        <w:fldChar w:fldCharType="begin" w:fldLock="1"/>
      </w:r>
      <w:r w:rsidRPr="00571BCB">
        <w:rPr>
          <w:rFonts w:ascii="Times New Roman" w:hAnsi="Times New Roman" w:cs="Times New Roman"/>
          <w:szCs w:val="20"/>
          <w:lang w:val="en-US"/>
        </w:rPr>
        <w:instrText>ADDIN CSL_CITATION { "citationItems" : [ { "id" : "ITEM-1", "itemData" : { "abstract" : "Thirteen nuclear-encoded microsatellites from a genomic DNA library of Serra Spanish mackerel, Scomberomorus brasiliensis, were isolated and characterized. The microsatellites include 10 perfect repeats (eight tetranucleotide and two dinucleotide) and three imperfect repeats (two tetranucleotide and one dinucleotide). An additional five microsatellites, isolated originally from two congeneric species (S. cavalla and S. niphonius), were characterized in S. brasiliensis. Serra Spanish mackerel support artisanal fisheries along the Caribbean and Atlantic coasts of Central and South America, from Belize to Brazil.", "author" : [ { "dropping-particle" : "", "family" : "Renshaw", "given" : "Mark A.", "non-dropping-particle" : "", "parse-names" : false, "suffix" : "" }, { "dropping-particle" : "", "family" : "Douglas", "given" : "Kory C.", "non-dropping-particle" : "", "parse-names" : false, "suffix" : "" }, { "dropping-particle" : "", "family" : "Rexroad", "given" : "Caird E.", "non-dropping-particle" : "", "parse-names" : false, "suffix" : "" }, { "dropping-particle" : "", "family" : "Jobity", "given" : "Ann Marie C", "non-dropping-particle" : "", "parse-names" : false, "suffix" : "" }, { "dropping-particle" : "", "family" : "Gold", "given" : "John R.", "non-dropping-particle" : "", "parse-names" : false, "suffix" : "" } ], "container-title" : "Molecular Ecology Resources", "id" : "ITEM-1", "issue" : "3", "issued" : { "date-parts" : [ [ "2009" ] ] }, "page" : "835-838", "title" : "Isolation and characterization of microsatellite markers in the Serra Spanish mackerel, Scomberomorus brasiliensis", "type" : "article-journal", "volume" : "9" }, "uris" : [ "http://www.mendeley.com/documents/?uuid=b8648553-8654-4d70-a1de-d5c7e4959b6b" ] } ], "mendeley" : { "formattedCitation" : "(Renshaw et\u00a0al., 2009)", "plainTextFormattedCitation" : "(Renshaw et\u00a0al., 2009)", "previouslyFormattedCitation" : "(Renshaw et\u00a0al., 2009)" }, "properties" : { "noteIndex" : 0 }, "schema" : "https://github.com/citation-style-language/schema/raw/master/csl-citation.json" }</w:instrText>
      </w:r>
      <w:r w:rsidRPr="00571BCB">
        <w:rPr>
          <w:rFonts w:ascii="Times New Roman" w:hAnsi="Times New Roman" w:cs="Times New Roman"/>
          <w:szCs w:val="20"/>
          <w:lang w:val="en-US"/>
        </w:rPr>
        <w:fldChar w:fldCharType="separate"/>
      </w:r>
      <w:r w:rsidRPr="00571BCB">
        <w:rPr>
          <w:rFonts w:ascii="Times New Roman" w:hAnsi="Times New Roman" w:cs="Times New Roman"/>
          <w:noProof/>
          <w:szCs w:val="20"/>
          <w:lang w:val="en-US"/>
        </w:rPr>
        <w:t>(</w:t>
      </w:r>
      <w:r w:rsidRPr="00624C87">
        <w:rPr>
          <w:rFonts w:ascii="Times New Roman" w:hAnsi="Times New Roman" w:cs="Times New Roman"/>
          <w:i/>
          <w:noProof/>
          <w:szCs w:val="20"/>
          <w:lang w:val="en-US"/>
        </w:rPr>
        <w:t>Renshaw et al., 2009</w:t>
      </w:r>
      <w:r w:rsidRPr="00571BCB">
        <w:rPr>
          <w:rFonts w:ascii="Times New Roman" w:hAnsi="Times New Roman" w:cs="Times New Roman"/>
          <w:noProof/>
          <w:szCs w:val="20"/>
          <w:lang w:val="en-US"/>
        </w:rPr>
        <w:t>)</w:t>
      </w:r>
      <w:r w:rsidRPr="00571BCB">
        <w:rPr>
          <w:rFonts w:ascii="Times New Roman" w:hAnsi="Times New Roman" w:cs="Times New Roman"/>
          <w:szCs w:val="20"/>
          <w:lang w:val="en-US"/>
        </w:rPr>
        <w:fldChar w:fldCharType="end"/>
      </w:r>
      <w:r w:rsidRPr="00571BCB">
        <w:rPr>
          <w:rFonts w:ascii="Times New Roman" w:hAnsi="Times New Roman" w:cs="Times New Roman"/>
          <w:szCs w:val="20"/>
          <w:lang w:val="en-US"/>
        </w:rPr>
        <w:t xml:space="preserve">, </w:t>
      </w:r>
      <w:r w:rsidRPr="00571BCB">
        <w:rPr>
          <w:rFonts w:ascii="Times New Roman" w:hAnsi="Times New Roman" w:cs="Times New Roman"/>
          <w:i/>
          <w:szCs w:val="20"/>
          <w:lang w:val="en-US"/>
        </w:rPr>
        <w:t xml:space="preserve">S. cavalla </w:t>
      </w:r>
      <w:r w:rsidRPr="00571BCB">
        <w:rPr>
          <w:rFonts w:ascii="Times New Roman" w:hAnsi="Times New Roman" w:cs="Times New Roman"/>
          <w:i/>
          <w:szCs w:val="20"/>
          <w:lang w:val="en-US"/>
        </w:rPr>
        <w:fldChar w:fldCharType="begin" w:fldLock="1"/>
      </w:r>
      <w:r w:rsidRPr="00571BCB">
        <w:rPr>
          <w:rFonts w:ascii="Times New Roman" w:hAnsi="Times New Roman" w:cs="Times New Roman"/>
          <w:i/>
          <w:szCs w:val="20"/>
          <w:lang w:val="en-US"/>
        </w:rPr>
        <w:instrText>ADDIN CSL_CITATION { "citationItems" : [ { "id" : "ITEM-1", "itemData" : { "DOI" : "10.1016/S0165-7836(01)00275-2", "ISSN" : "01657836", "abstract" : "We developed microsatellite loci for king mackerel (Scomberomorus cavalla) and used them to investigate population structure and gene flow between samples from regional localities in the western Atlantic Ocean (Atlantic) and Gulf of Mexico (Gulf). Based on mark-recapture and spatial-temporal sampling, king mackerel in US waters have been perceived as organized into two or more \"migratory units\" that tend to move in the spring from southern wintering areas off south Florida and the Yucatan peninsula to more northern spawning areas along the southeastern US coast and the northern Gulf. We surveyed allelic variation at five microsatellite loci between samples of king mackerel from eight geographic localities in the Atlantic and Gulf. Tests of homogeneity in allele distribution indicated that two samples from the northern Gulf (Port Aransas, TX, and Gulfport, MS) differed significantly from the remaining samples. However, no significant genetic differences were found between samples representing geographic extremes, and no significant geographic patterns of genetic divergence were found when samples were combined into regional groupings reflecting current hypotheses of population structure. There also was no evidence of an isolation-by-distance effect. We hypothesize that the regional migratory groupings in king mackerel do not restrict gene flow to the extent that significant genetic population structure may arise. ?? 2002 Elsevier Science B.V. All rights reserved.", "author" : [ { "dropping-particle" : "", "family" : "Broughton", "given" : "Richard E.", "non-dropping-particle" : "", "parse-names" : false, "suffix" : "" }, { "dropping-particle" : "", "family" : "Stewart", "given" : "Leah B.", "non-dropping-particle" : "", "parse-names" : false, "suffix" : "" }, { "dropping-particle" : "", "family" : "Gold", "given" : "John R.", "non-dropping-particle" : "", "parse-names" : false, "suffix" : "" } ], "container-title" : "Fisheries Research", "id" : "ITEM-1", "issue" : "3", "issued" : { "date-parts" : [ [ "2002" ] ] }, "page" : "305-316", "title" : "Microsatellite variation suggests substantial gene flow between king mackerel (Scomberomorus cavalla) in the western Atlantic Ocean and Gulf of Mexico", "type" : "article-journal", "volume" : "54" }, "uris" : [ "http://www.mendeley.com/documents/?uuid=0ad8ac00-eb2e-4f9c-8ae4-dcdf029cce00" ] } ], "mendeley" : { "formattedCitation" : "(Broughton, Stewart &amp; Gold, 2002)", "plainTextFormattedCitation" : "(Broughton, Stewart &amp; Gold, 2002)", "previouslyFormattedCitation" : "(Broughton, Stewart &amp; Gold, 2002)" }, "properties" : { "noteIndex" : 0 }, "schema" : "https://github.com/citation-style-language/schema/raw/master/csl-citation.json" }</w:instrText>
      </w:r>
      <w:r w:rsidRPr="00571BCB">
        <w:rPr>
          <w:rFonts w:ascii="Times New Roman" w:hAnsi="Times New Roman" w:cs="Times New Roman"/>
          <w:i/>
          <w:szCs w:val="20"/>
          <w:lang w:val="en-US"/>
        </w:rPr>
        <w:fldChar w:fldCharType="separate"/>
      </w:r>
      <w:r w:rsidRPr="00571BCB">
        <w:rPr>
          <w:rFonts w:ascii="Times New Roman" w:hAnsi="Times New Roman" w:cs="Times New Roman"/>
          <w:noProof/>
          <w:szCs w:val="20"/>
          <w:lang w:val="en-US"/>
        </w:rPr>
        <w:t>(</w:t>
      </w:r>
      <w:r w:rsidRPr="00571BCB">
        <w:rPr>
          <w:rFonts w:ascii="Times New Roman" w:hAnsi="Times New Roman" w:cs="Times New Roman"/>
          <w:i/>
          <w:noProof/>
          <w:szCs w:val="20"/>
          <w:lang w:val="en-US"/>
        </w:rPr>
        <w:t>Broughton, Stewart &amp; Gold, 2002</w:t>
      </w:r>
      <w:r w:rsidRPr="00571BCB">
        <w:rPr>
          <w:rFonts w:ascii="Times New Roman" w:hAnsi="Times New Roman" w:cs="Times New Roman"/>
          <w:noProof/>
          <w:szCs w:val="20"/>
          <w:lang w:val="en-US"/>
        </w:rPr>
        <w:t>)</w:t>
      </w:r>
      <w:r w:rsidRPr="00571BCB">
        <w:rPr>
          <w:rFonts w:ascii="Times New Roman" w:hAnsi="Times New Roman" w:cs="Times New Roman"/>
          <w:i/>
          <w:szCs w:val="20"/>
          <w:lang w:val="en-US"/>
        </w:rPr>
        <w:fldChar w:fldCharType="end"/>
      </w:r>
      <w:r w:rsidRPr="00571BCB">
        <w:rPr>
          <w:rFonts w:ascii="Times New Roman" w:hAnsi="Times New Roman" w:cs="Times New Roman"/>
          <w:szCs w:val="20"/>
          <w:lang w:val="en-US"/>
        </w:rPr>
        <w:t xml:space="preserve"> and </w:t>
      </w:r>
      <w:r w:rsidRPr="00571BCB">
        <w:rPr>
          <w:rFonts w:ascii="Times New Roman" w:hAnsi="Times New Roman" w:cs="Times New Roman"/>
          <w:i/>
          <w:szCs w:val="20"/>
          <w:lang w:val="en-US"/>
        </w:rPr>
        <w:t>S. niphonius</w:t>
      </w:r>
      <w:r w:rsidRPr="00571BCB">
        <w:rPr>
          <w:rFonts w:ascii="Times New Roman" w:hAnsi="Times New Roman" w:cs="Times New Roman"/>
          <w:szCs w:val="20"/>
          <w:lang w:val="en-US"/>
        </w:rPr>
        <w:t xml:space="preserve"> </w:t>
      </w:r>
      <w:r w:rsidRPr="00624C87">
        <w:rPr>
          <w:rFonts w:ascii="Times New Roman" w:hAnsi="Times New Roman" w:cs="Times New Roman"/>
          <w:i/>
          <w:szCs w:val="20"/>
          <w:lang w:val="en-US"/>
        </w:rPr>
        <w:fldChar w:fldCharType="begin" w:fldLock="1"/>
      </w:r>
      <w:r w:rsidRPr="00624C87">
        <w:rPr>
          <w:rFonts w:ascii="Times New Roman" w:hAnsi="Times New Roman" w:cs="Times New Roman"/>
          <w:i/>
          <w:szCs w:val="20"/>
          <w:lang w:val="en-US"/>
        </w:rPr>
        <w:instrText>ADDIN CSL_CITATION { "citationItems" : [ { "id" : "ITEM-1", "itemData" : { "DOI" : "10.1111/j.1471-8286.2005.01217.x", "ISSN" : "14718278", "author" : [ { "dropping-particle" : "", "family" : "Yokoyama", "given" : "Emi", "non-dropping-particle" : "", "parse-names" : false, "suffix" : "" }, { "dropping-particle" : "", "family" : "Sakamoto", "given" : "Takashi", "non-dropping-particle" : "", "parse-names" : false, "suffix" : "" }, { "dropping-particle" : "", "family" : "Sugaya", "given" : "Takuma", "non-dropping-particle" : "", "parse-names" : false, "suffix" : "" }, { "dropping-particle" : "", "family" : "Kitada", "given" : "Shuichi", "non-dropping-particle" : "", "parse-names" : false, "suffix" : "" } ], "container-title" : "Molecular Ecology Notes", "id" : "ITEM-1", "issue" : "2", "issued" : { "date-parts" : [ [ "2006" ] ] }, "page" : "323-324", "title" : "Six polymorphic microsatellite loci in the Japanese Spanish mackerel, Scomberomorus niphonius", "type" : "article-journal", "volume" : "6" }, "uris" : [ "http://www.mendeley.com/documents/?uuid=191eca79-3d6b-43d7-894d-a152a5f5e8f4" ] } ], "mendeley" : { "formattedCitation" : "(Yokoyama et\u00a0al., 2006)", "plainTextFormattedCitation" : "(Yokoyama et\u00a0al., 2006)", "previouslyFormattedCitation" : "(Yokoyama et\u00a0al., 2006)" }, "properties" : { "noteIndex" : 0 }, "schema" : "https://github.com/citation-style-language/schema/raw/master/csl-citation.json" }</w:instrText>
      </w:r>
      <w:r w:rsidRPr="00624C87">
        <w:rPr>
          <w:rFonts w:ascii="Times New Roman" w:hAnsi="Times New Roman" w:cs="Times New Roman"/>
          <w:i/>
          <w:szCs w:val="20"/>
          <w:lang w:val="en-US"/>
        </w:rPr>
        <w:fldChar w:fldCharType="separate"/>
      </w:r>
      <w:r w:rsidRPr="00624C87">
        <w:rPr>
          <w:rFonts w:ascii="Times New Roman" w:hAnsi="Times New Roman" w:cs="Times New Roman"/>
          <w:i/>
          <w:noProof/>
          <w:szCs w:val="20"/>
          <w:lang w:val="en-US"/>
        </w:rPr>
        <w:t>(Yokoyama et al., 2006)</w:t>
      </w:r>
      <w:r w:rsidRPr="00624C87">
        <w:rPr>
          <w:rFonts w:ascii="Times New Roman" w:hAnsi="Times New Roman" w:cs="Times New Roman"/>
          <w:i/>
          <w:szCs w:val="20"/>
          <w:lang w:val="en-US"/>
        </w:rPr>
        <w:fldChar w:fldCharType="end"/>
      </w:r>
      <w:r w:rsidRPr="00571BCB">
        <w:rPr>
          <w:rFonts w:ascii="Times New Roman" w:hAnsi="Times New Roman" w:cs="Times New Roman"/>
          <w:szCs w:val="20"/>
          <w:lang w:val="en-US"/>
        </w:rPr>
        <w:t xml:space="preserve">, respectively, and characterized in </w:t>
      </w:r>
      <w:r w:rsidRPr="00571BCB">
        <w:rPr>
          <w:rFonts w:ascii="Times New Roman" w:hAnsi="Times New Roman" w:cs="Times New Roman"/>
          <w:i/>
          <w:szCs w:val="20"/>
          <w:lang w:val="en-US"/>
        </w:rPr>
        <w:t>S. concolor</w:t>
      </w:r>
      <w:r w:rsidRPr="00571BCB">
        <w:rPr>
          <w:rFonts w:ascii="Times New Roman" w:hAnsi="Times New Roman" w:cs="Times New Roman"/>
          <w:szCs w:val="20"/>
          <w:lang w:val="en-US"/>
        </w:rPr>
        <w:t xml:space="preserve"> in the present study. Forward primer sequence (F), reverse primer sequence (R). All the multiplex reactions were performed at annealing temperature of </w:t>
      </w:r>
      <w:r w:rsidRPr="00571BCB">
        <w:rPr>
          <w:rFonts w:ascii="Times New Roman" w:eastAsia="Times New Roman" w:hAnsi="Times New Roman" w:cs="Times New Roman"/>
          <w:lang w:val="en-US" w:eastAsia="es-419"/>
        </w:rPr>
        <w:t xml:space="preserve">56ºC. </w:t>
      </w:r>
    </w:p>
    <w:p w:rsidR="005225A1" w:rsidRPr="00C54BCC" w:rsidRDefault="005225A1" w:rsidP="00C54BCC">
      <w:pPr>
        <w:rPr>
          <w:lang w:val="en-US"/>
        </w:rPr>
      </w:pPr>
    </w:p>
    <w:sectPr w:rsidR="005225A1" w:rsidRPr="00C54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B4A96"/>
    <w:multiLevelType w:val="hybridMultilevel"/>
    <w:tmpl w:val="0944DFA0"/>
    <w:lvl w:ilvl="0" w:tplc="4D669B72">
      <w:numFmt w:val="bullet"/>
      <w:lvlText w:val=""/>
      <w:lvlJc w:val="left"/>
      <w:pPr>
        <w:ind w:left="720" w:hanging="360"/>
      </w:pPr>
      <w:rPr>
        <w:rFonts w:ascii="Symbol" w:eastAsiaTheme="minorHAnsi" w:hAnsi="Symbol"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A1"/>
    <w:rsid w:val="000C10AA"/>
    <w:rsid w:val="001571CA"/>
    <w:rsid w:val="00287A4A"/>
    <w:rsid w:val="0029446F"/>
    <w:rsid w:val="004579C8"/>
    <w:rsid w:val="0052065A"/>
    <w:rsid w:val="005225A1"/>
    <w:rsid w:val="0052785A"/>
    <w:rsid w:val="005C1F70"/>
    <w:rsid w:val="006231F2"/>
    <w:rsid w:val="006241AC"/>
    <w:rsid w:val="00624C87"/>
    <w:rsid w:val="00754132"/>
    <w:rsid w:val="00837FB0"/>
    <w:rsid w:val="00860CD8"/>
    <w:rsid w:val="00867C81"/>
    <w:rsid w:val="009364A0"/>
    <w:rsid w:val="00995687"/>
    <w:rsid w:val="009A29C8"/>
    <w:rsid w:val="00A0494C"/>
    <w:rsid w:val="00A677C3"/>
    <w:rsid w:val="00B46291"/>
    <w:rsid w:val="00C54BCC"/>
    <w:rsid w:val="00CD316B"/>
    <w:rsid w:val="00D6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3FD38-48D7-4C8F-B43B-11403CAB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BC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autoRedefine/>
    <w:uiPriority w:val="99"/>
    <w:semiHidden/>
    <w:unhideWhenUsed/>
    <w:qFormat/>
    <w:rsid w:val="006231F2"/>
    <w:pPr>
      <w:spacing w:after="0"/>
    </w:pPr>
    <w:rPr>
      <w:rFonts w:ascii="Times New Roman" w:hAnsi="Times New Roman"/>
      <w:sz w:val="24"/>
      <w:lang w:val="en-US"/>
    </w:rPr>
  </w:style>
  <w:style w:type="paragraph" w:styleId="Prrafodelista">
    <w:name w:val="List Paragraph"/>
    <w:basedOn w:val="Normal"/>
    <w:uiPriority w:val="34"/>
    <w:qFormat/>
    <w:rsid w:val="00CD316B"/>
    <w:pPr>
      <w:ind w:left="720"/>
      <w:contextualSpacing/>
    </w:pPr>
    <w:rPr>
      <w:lang w:val="en-US"/>
    </w:rPr>
  </w:style>
  <w:style w:type="table" w:customStyle="1" w:styleId="Cuadrculadetablaclara1">
    <w:name w:val="Cuadrícula de tabla clara1"/>
    <w:basedOn w:val="Tablanormal"/>
    <w:uiPriority w:val="40"/>
    <w:rsid w:val="00C54BCC"/>
    <w:pPr>
      <w:spacing w:after="0" w:line="240" w:lineRule="auto"/>
    </w:pPr>
    <w:rPr>
      <w:lang w:val="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2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Magallón-Gayón</dc:creator>
  <cp:keywords/>
  <dc:description/>
  <cp:lastModifiedBy>Erika Magallón-Gayón</cp:lastModifiedBy>
  <cp:revision>6</cp:revision>
  <dcterms:created xsi:type="dcterms:W3CDTF">2016-08-10T22:36:00Z</dcterms:created>
  <dcterms:modified xsi:type="dcterms:W3CDTF">2016-08-30T03:06:00Z</dcterms:modified>
</cp:coreProperties>
</file>