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A6" w:rsidRDefault="004447A6" w:rsidP="00350DD5">
      <w:pPr>
        <w:rPr>
          <w:lang w:val="en-US"/>
        </w:rPr>
      </w:pPr>
    </w:p>
    <w:p w:rsidR="004447A6" w:rsidRDefault="004447A6" w:rsidP="00350DD5">
      <w:pPr>
        <w:rPr>
          <w:lang w:val="en-US"/>
        </w:rPr>
      </w:pPr>
    </w:p>
    <w:tbl>
      <w:tblPr>
        <w:tblW w:w="9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06"/>
        <w:gridCol w:w="1393"/>
        <w:gridCol w:w="1514"/>
        <w:gridCol w:w="1394"/>
        <w:gridCol w:w="1156"/>
        <w:gridCol w:w="1157"/>
      </w:tblGrid>
      <w:tr w:rsidR="004447A6" w:rsidRPr="004447A6" w:rsidTr="004447A6">
        <w:trPr>
          <w:trHeight w:val="390"/>
        </w:trPr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proofErr w:type="spellStart"/>
            <w:r w:rsidRPr="004447A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lang w:val="es-ES" w:eastAsia="ca-ES"/>
              </w:rPr>
              <w:t>df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lang w:val="es-ES" w:eastAsia="ca-ES"/>
              </w:rPr>
              <w:t xml:space="preserve">      SS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proofErr w:type="spellStart"/>
            <w:r w:rsidRPr="004447A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lang w:val="es-ES" w:eastAsia="ca-ES"/>
              </w:rPr>
              <w:t>Pseudo</w:t>
            </w:r>
            <w:proofErr w:type="spellEnd"/>
            <w:r w:rsidRPr="004447A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lang w:val="es-ES" w:eastAsia="ca-ES"/>
              </w:rPr>
              <w:t>-F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lang w:val="es-ES" w:eastAsia="ca-ES"/>
              </w:rPr>
              <w:t>P-</w:t>
            </w:r>
            <w:proofErr w:type="spellStart"/>
            <w:r w:rsidRPr="004447A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lang w:val="es-ES" w:eastAsia="ca-ES"/>
              </w:rPr>
              <w:t>value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proofErr w:type="spellStart"/>
            <w:r w:rsidRPr="004447A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lang w:val="es-ES" w:eastAsia="ca-ES"/>
              </w:rPr>
              <w:t>Permdisp</w:t>
            </w:r>
            <w:proofErr w:type="spellEnd"/>
          </w:p>
        </w:tc>
      </w:tr>
      <w:tr w:rsidR="004447A6" w:rsidRPr="004447A6" w:rsidTr="004447A6">
        <w:trPr>
          <w:trHeight w:val="375"/>
        </w:trPr>
        <w:tc>
          <w:tcPr>
            <w:tcW w:w="2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proofErr w:type="spellStart"/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Layer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16,145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 xml:space="preserve">2.362 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&lt;0.001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 xml:space="preserve">0.104  </w:t>
            </w:r>
          </w:p>
        </w:tc>
      </w:tr>
      <w:tr w:rsidR="004447A6" w:rsidRPr="004447A6" w:rsidTr="004447A6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proofErr w:type="spellStart"/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Locality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46,235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 xml:space="preserve">1.499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 xml:space="preserve">0.588  </w:t>
            </w:r>
          </w:p>
        </w:tc>
      </w:tr>
      <w:tr w:rsidR="004447A6" w:rsidRPr="004447A6" w:rsidTr="004447A6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proofErr w:type="spellStart"/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Corer</w:t>
            </w:r>
            <w:proofErr w:type="spellEnd"/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 xml:space="preserve"> (</w:t>
            </w:r>
            <w:proofErr w:type="spellStart"/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Locality</w:t>
            </w:r>
            <w:proofErr w:type="spellEnd"/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68,579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 xml:space="preserve">1.134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 xml:space="preserve">0.670  </w:t>
            </w:r>
          </w:p>
        </w:tc>
      </w:tr>
      <w:tr w:rsidR="004447A6" w:rsidRPr="004447A6" w:rsidTr="004447A6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proofErr w:type="spellStart"/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Layer</w:t>
            </w:r>
            <w:proofErr w:type="spellEnd"/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*</w:t>
            </w:r>
            <w:proofErr w:type="spellStart"/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Locality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61,559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 xml:space="preserve">1.131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 xml:space="preserve">0.003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</w:tr>
      <w:tr w:rsidR="004447A6" w:rsidRPr="004447A6" w:rsidTr="004447A6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Residual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117,920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 xml:space="preserve">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 xml:space="preserve">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 xml:space="preserve">      </w:t>
            </w:r>
          </w:p>
        </w:tc>
      </w:tr>
      <w:tr w:rsidR="004447A6" w:rsidRPr="004447A6" w:rsidTr="004447A6">
        <w:trPr>
          <w:trHeight w:val="375"/>
        </w:trPr>
        <w:tc>
          <w:tcPr>
            <w:tcW w:w="2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</w:tr>
      <w:tr w:rsidR="004447A6" w:rsidRPr="004447A6" w:rsidTr="004447A6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s-ES"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 xml:space="preserve">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 xml:space="preserve">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</w:tr>
      <w:tr w:rsidR="004447A6" w:rsidRPr="004447A6" w:rsidTr="004447A6">
        <w:trPr>
          <w:trHeight w:val="375"/>
        </w:trPr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proofErr w:type="spellStart"/>
            <w:r w:rsidRPr="004447A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lang w:val="es-ES" w:eastAsia="ca-ES"/>
              </w:rPr>
              <w:t>Layer</w:t>
            </w:r>
            <w:proofErr w:type="spellEnd"/>
            <w:r w:rsidRPr="004447A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lang w:val="es-ES" w:eastAsia="ca-ES"/>
              </w:rPr>
              <w:t xml:space="preserve"> </w:t>
            </w:r>
            <w:proofErr w:type="spellStart"/>
            <w:r w:rsidRPr="004447A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lang w:val="es-ES" w:eastAsia="ca-ES"/>
              </w:rPr>
              <w:t>Comparison</w:t>
            </w:r>
            <w:proofErr w:type="spellEnd"/>
            <w:r w:rsidRPr="004447A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lang w:val="es-ES" w:eastAsia="ca-E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lang w:val="es-ES" w:eastAsia="ca-ES"/>
              </w:rPr>
              <w:t xml:space="preserve">     t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lang w:val="es-ES" w:eastAsia="ca-ES"/>
              </w:rPr>
              <w:t>P-</w:t>
            </w:r>
            <w:proofErr w:type="spellStart"/>
            <w:r w:rsidRPr="004447A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lang w:val="es-ES" w:eastAsia="ca-ES"/>
              </w:rPr>
              <w:t>value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</w:tr>
      <w:tr w:rsidR="004447A6" w:rsidRPr="004447A6" w:rsidTr="004447A6">
        <w:trPr>
          <w:trHeight w:val="375"/>
        </w:trPr>
        <w:tc>
          <w:tcPr>
            <w:tcW w:w="2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A - B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 xml:space="preserve">1.525  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0.022*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</w:tr>
      <w:tr w:rsidR="004447A6" w:rsidRPr="004447A6" w:rsidTr="004447A6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A - 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 xml:space="preserve">1.962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&lt;0.001*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</w:tr>
      <w:tr w:rsidR="004447A6" w:rsidRPr="004447A6" w:rsidTr="004447A6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>B - 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 xml:space="preserve">1.277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4447A6">
              <w:rPr>
                <w:rFonts w:ascii="Calibri" w:eastAsia="Times New Roman" w:hAnsi="Calibri" w:cs="Calibri"/>
                <w:color w:val="000000"/>
                <w:kern w:val="24"/>
                <w:lang w:val="es-ES" w:eastAsia="ca-ES"/>
              </w:rPr>
              <w:t xml:space="preserve">0.076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</w:tr>
      <w:tr w:rsidR="004447A6" w:rsidRPr="004447A6" w:rsidTr="004447A6">
        <w:trPr>
          <w:trHeight w:val="375"/>
        </w:trPr>
        <w:tc>
          <w:tcPr>
            <w:tcW w:w="2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47A6" w:rsidRPr="004447A6" w:rsidRDefault="004447A6" w:rsidP="004447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</w:tr>
    </w:tbl>
    <w:p w:rsidR="00350DD5" w:rsidRDefault="00350DD5">
      <w:pPr>
        <w:rPr>
          <w:lang w:val="en-US"/>
        </w:rPr>
      </w:pPr>
    </w:p>
    <w:p w:rsidR="004447A6" w:rsidRPr="004447A6" w:rsidRDefault="004447A6" w:rsidP="004447A6">
      <w:r w:rsidRPr="004447A6">
        <w:rPr>
          <w:lang w:val="en-US"/>
        </w:rPr>
        <w:t>Table S2. PERMANOVA and PERMDISP tests of the factor</w:t>
      </w:r>
      <w:r w:rsidR="009A0BA4">
        <w:rPr>
          <w:lang w:val="en-US"/>
        </w:rPr>
        <w:t>s</w:t>
      </w:r>
      <w:r w:rsidRPr="004447A6">
        <w:rPr>
          <w:lang w:val="en-US"/>
        </w:rPr>
        <w:t xml:space="preserve"> Layer </w:t>
      </w:r>
      <w:r w:rsidR="009A0BA4">
        <w:rPr>
          <w:lang w:val="en-US"/>
        </w:rPr>
        <w:t xml:space="preserve">and Locality </w:t>
      </w:r>
      <w:r w:rsidRPr="004447A6">
        <w:rPr>
          <w:lang w:val="en-US"/>
        </w:rPr>
        <w:t xml:space="preserve">(with </w:t>
      </w:r>
      <w:r w:rsidR="009A0BA4">
        <w:rPr>
          <w:lang w:val="en-US"/>
        </w:rPr>
        <w:t>Corer</w:t>
      </w:r>
      <w:r w:rsidR="009A0BA4" w:rsidRPr="004447A6">
        <w:rPr>
          <w:lang w:val="en-US"/>
        </w:rPr>
        <w:t xml:space="preserve"> </w:t>
      </w:r>
      <w:r w:rsidRPr="004447A6">
        <w:rPr>
          <w:lang w:val="en-US"/>
        </w:rPr>
        <w:t>as nested factor) for the Jaccard index. The results for permutational pairwise tests of levels of the factor Layer are also provided (*: significant outcome after FDR correction).</w:t>
      </w:r>
    </w:p>
    <w:p w:rsidR="004447A6" w:rsidRDefault="004447A6">
      <w:bookmarkStart w:id="0" w:name="_GoBack"/>
      <w:bookmarkEnd w:id="0"/>
    </w:p>
    <w:p w:rsidR="00350DD5" w:rsidRDefault="00350DD5"/>
    <w:sectPr w:rsidR="00350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3C"/>
    <w:rsid w:val="00120996"/>
    <w:rsid w:val="00350DD5"/>
    <w:rsid w:val="004447A6"/>
    <w:rsid w:val="009A0BA4"/>
    <w:rsid w:val="00A3293C"/>
    <w:rsid w:val="00B23FF9"/>
    <w:rsid w:val="00C64756"/>
    <w:rsid w:val="00D3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66BC1-2A4C-4880-A768-109252E8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PeerJ</cp:lastModifiedBy>
  <cp:revision>2</cp:revision>
  <dcterms:created xsi:type="dcterms:W3CDTF">2016-12-12T23:06:00Z</dcterms:created>
  <dcterms:modified xsi:type="dcterms:W3CDTF">2016-12-12T23:06:00Z</dcterms:modified>
</cp:coreProperties>
</file>