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6"/>
        <w:gridCol w:w="1053"/>
        <w:gridCol w:w="1055"/>
        <w:gridCol w:w="1056"/>
        <w:gridCol w:w="1053"/>
        <w:gridCol w:w="1057"/>
      </w:tblGrid>
      <w:tr w:rsidR="00982A56" w:rsidRPr="00982A56" w:rsidTr="00982A56">
        <w:trPr>
          <w:trHeight w:val="302"/>
        </w:trPr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proofErr w:type="spellStart"/>
            <w:r w:rsidRPr="00982A56">
              <w:rPr>
                <w:i/>
                <w:iCs/>
                <w:lang w:val="en-GB"/>
              </w:rPr>
              <w:t>df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 xml:space="preserve">      SS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>Pseudo-F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>P-value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proofErr w:type="spellStart"/>
            <w:r w:rsidRPr="00982A56">
              <w:rPr>
                <w:i/>
                <w:iCs/>
                <w:lang w:val="en-GB"/>
              </w:rPr>
              <w:t>Permdisp</w:t>
            </w:r>
            <w:proofErr w:type="spellEnd"/>
          </w:p>
        </w:tc>
      </w:tr>
      <w:tr w:rsidR="00982A56" w:rsidRPr="00982A56" w:rsidTr="00982A56">
        <w:trPr>
          <w:trHeight w:val="299"/>
        </w:trPr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Season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3,916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1.662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0.009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0.022  </w:t>
            </w:r>
          </w:p>
        </w:tc>
      </w:tr>
      <w:tr w:rsidR="00982A56" w:rsidRPr="00982A56" w:rsidTr="00982A56">
        <w:trPr>
          <w:trHeight w:val="29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Depth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10,313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1.459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0.002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0.696  </w:t>
            </w:r>
          </w:p>
        </w:tc>
      </w:tr>
      <w:tr w:rsidR="00982A56" w:rsidRPr="00982A56" w:rsidTr="00982A56">
        <w:trPr>
          <w:trHeight w:val="29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Season*Depth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7,468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1.056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0.294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299"/>
        </w:trPr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Residual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37,701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      </w:t>
            </w:r>
          </w:p>
        </w:tc>
      </w:tr>
      <w:tr w:rsidR="00982A56" w:rsidRPr="00982A56" w:rsidTr="00982A56">
        <w:trPr>
          <w:trHeight w:val="299"/>
        </w:trPr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699"/>
        </w:trPr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b/>
                <w:bCs/>
                <w:lang w:val="en-GB"/>
              </w:rPr>
              <w:t>Depth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340"/>
        </w:trPr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 xml:space="preserve">Comparison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 xml:space="preserve">     t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i/>
                <w:iCs/>
                <w:lang w:val="en-GB"/>
              </w:rPr>
              <w:t>P-value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900 - 1200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1.028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0.486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900 - 1500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1.271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0.019*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900 - 1750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1.367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0.002*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1200 - 1500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1.135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0.088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1200 - 1750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1.270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0.018*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  <w:tr w:rsidR="00982A56" w:rsidRPr="00982A56" w:rsidTr="00982A56">
        <w:trPr>
          <w:trHeight w:val="463"/>
        </w:trPr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>1500 - 1750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1.151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00000" w:rsidRPr="00982A56" w:rsidRDefault="00982A56" w:rsidP="00982A56">
            <w:r w:rsidRPr="00982A56">
              <w:rPr>
                <w:lang w:val="en-GB"/>
              </w:rPr>
              <w:t xml:space="preserve">0.056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82A56" w:rsidRPr="00982A56" w:rsidRDefault="00982A56" w:rsidP="00982A56"/>
        </w:tc>
      </w:tr>
    </w:tbl>
    <w:p w:rsidR="00A94C56" w:rsidRDefault="00A94C56" w:rsidP="00A94C56"/>
    <w:p w:rsidR="00982A56" w:rsidRPr="00982A56" w:rsidRDefault="00982A56" w:rsidP="00982A56">
      <w:r w:rsidRPr="00982A56">
        <w:rPr>
          <w:lang w:val="en-US"/>
        </w:rPr>
        <w:t xml:space="preserve">Table S4. </w:t>
      </w:r>
      <w:proofErr w:type="gramStart"/>
      <w:r w:rsidRPr="00982A56">
        <w:rPr>
          <w:lang w:val="en-US"/>
        </w:rPr>
        <w:t>PERMANOVA and PERMDISP tests of the effects of Season and Depth on the samples from the Blanes Canyon for the Jaccard index.</w:t>
      </w:r>
      <w:proofErr w:type="gramEnd"/>
      <w:r w:rsidRPr="00982A56">
        <w:rPr>
          <w:lang w:val="en-US"/>
        </w:rPr>
        <w:t xml:space="preserve"> The results for permutational pairwise tests of levels of the factor Depth are also provided (*: significant outcome after FDR correction). </w:t>
      </w:r>
      <w:proofErr w:type="spellStart"/>
      <w:r w:rsidRPr="00982A56">
        <w:rPr>
          <w:lang w:val="es-ES"/>
        </w:rPr>
        <w:t>The</w:t>
      </w:r>
      <w:proofErr w:type="spellEnd"/>
      <w:r w:rsidRPr="00982A56">
        <w:rPr>
          <w:lang w:val="es-ES"/>
        </w:rPr>
        <w:t xml:space="preserve"> </w:t>
      </w:r>
      <w:proofErr w:type="spellStart"/>
      <w:r w:rsidRPr="00982A56">
        <w:rPr>
          <w:lang w:val="es-ES"/>
        </w:rPr>
        <w:t>three</w:t>
      </w:r>
      <w:proofErr w:type="spellEnd"/>
      <w:r w:rsidRPr="00982A56">
        <w:rPr>
          <w:lang w:val="es-ES"/>
        </w:rPr>
        <w:t xml:space="preserve"> </w:t>
      </w:r>
      <w:proofErr w:type="spellStart"/>
      <w:r w:rsidRPr="00982A56">
        <w:rPr>
          <w:lang w:val="es-ES"/>
        </w:rPr>
        <w:t>layers</w:t>
      </w:r>
      <w:proofErr w:type="spellEnd"/>
      <w:r w:rsidRPr="00982A56">
        <w:rPr>
          <w:lang w:val="es-ES"/>
        </w:rPr>
        <w:t xml:space="preserve"> of </w:t>
      </w:r>
      <w:proofErr w:type="spellStart"/>
      <w:r w:rsidRPr="00982A56">
        <w:rPr>
          <w:lang w:val="es-ES"/>
        </w:rPr>
        <w:t>each</w:t>
      </w:r>
      <w:proofErr w:type="spellEnd"/>
      <w:r w:rsidRPr="00982A56">
        <w:rPr>
          <w:lang w:val="es-ES"/>
        </w:rPr>
        <w:t xml:space="preserve"> </w:t>
      </w:r>
      <w:proofErr w:type="spellStart"/>
      <w:r w:rsidRPr="00982A56">
        <w:rPr>
          <w:lang w:val="es-ES"/>
        </w:rPr>
        <w:t>sample</w:t>
      </w:r>
      <w:proofErr w:type="spellEnd"/>
      <w:r w:rsidRPr="00982A56">
        <w:rPr>
          <w:lang w:val="es-ES"/>
        </w:rPr>
        <w:t xml:space="preserve"> </w:t>
      </w:r>
      <w:proofErr w:type="spellStart"/>
      <w:r w:rsidRPr="00982A56">
        <w:rPr>
          <w:lang w:val="es-ES"/>
        </w:rPr>
        <w:t>pooled</w:t>
      </w:r>
      <w:proofErr w:type="spellEnd"/>
      <w:r w:rsidRPr="00982A56">
        <w:rPr>
          <w:lang w:val="es-ES"/>
        </w:rPr>
        <w:t>.</w:t>
      </w:r>
    </w:p>
    <w:p w:rsidR="00982A56" w:rsidRDefault="00982A56" w:rsidP="00A94C56">
      <w:bookmarkStart w:id="0" w:name="_GoBack"/>
      <w:bookmarkEnd w:id="0"/>
    </w:p>
    <w:p w:rsidR="00982A56" w:rsidRDefault="00982A56" w:rsidP="00A94C56"/>
    <w:p w:rsidR="00A94C56" w:rsidRDefault="00A94C56" w:rsidP="00A94C56"/>
    <w:p w:rsidR="00A94C56" w:rsidRPr="00A94C56" w:rsidRDefault="00A94C56" w:rsidP="00A94C56"/>
    <w:sectPr w:rsidR="00A94C56" w:rsidRPr="00A9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C"/>
    <w:rsid w:val="00350DD5"/>
    <w:rsid w:val="004447A6"/>
    <w:rsid w:val="00982A56"/>
    <w:rsid w:val="00A3293C"/>
    <w:rsid w:val="00A94C56"/>
    <w:rsid w:val="00B23FF9"/>
    <w:rsid w:val="00C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2016-09-27T18:58:00Z</dcterms:created>
  <dcterms:modified xsi:type="dcterms:W3CDTF">2016-09-27T18:58:00Z</dcterms:modified>
</cp:coreProperties>
</file>