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94" w:rsidRPr="006127DA" w:rsidRDefault="00B45FE4" w:rsidP="00D035E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27DA">
        <w:rPr>
          <w:rFonts w:ascii="Times New Roman" w:hAnsi="Times New Roman" w:cs="Times New Roman"/>
          <w:sz w:val="24"/>
          <w:szCs w:val="24"/>
          <w:lang w:val="en-US"/>
        </w:rPr>
        <w:t>Supplementary Material S2</w:t>
      </w:r>
    </w:p>
    <w:p w:rsidR="00B45FE4" w:rsidRDefault="00B45FE4" w:rsidP="00D035E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B45FE4" w:rsidRPr="00B45FE4" w:rsidRDefault="00B45FE4" w:rsidP="00D035E1">
      <w:pPr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925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Dung beetle </w:t>
      </w:r>
      <w:r w:rsidR="00D035E1">
        <w:rPr>
          <w:rFonts w:ascii="Times New Roman" w:hAnsi="Times New Roman" w:cs="Times New Roman"/>
          <w:i/>
          <w:sz w:val="24"/>
          <w:szCs w:val="24"/>
          <w:lang w:val="en-GB"/>
        </w:rPr>
        <w:t>identification</w:t>
      </w:r>
    </w:p>
    <w:p w:rsidR="00B45FE4" w:rsidRDefault="00D035E1" w:rsidP="00D035E1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Scarabaeinae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Geotrupinae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subfamilies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have been identified 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Baraud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(1992).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Aphodiinae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subfamily 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were identified following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Dellacasa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Dellacasa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(2006).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Biralus</w:t>
      </w:r>
      <w:proofErr w:type="spellEnd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US"/>
        </w:rPr>
        <w:t>mahunkaorum</w:t>
      </w:r>
      <w:proofErr w:type="spellEnd"/>
      <w:r w:rsidR="00B45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Ádám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, 1983)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Onthophagus</w:t>
      </w:r>
      <w:proofErr w:type="spellEnd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medius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Kugelann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, 1792) 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Aphodius</w:t>
      </w:r>
      <w:proofErr w:type="spellEnd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fimetarius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(Linnaeus, 1758) 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were identified following the work, respectively, of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Rössner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Fery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(2014),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Rössner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et al. (2010) and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Miraldo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et al. (2014)</w:t>
      </w:r>
      <w:r w:rsidR="00B45FE4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. The species of</w:t>
      </w:r>
      <w:r w:rsidR="00B45FE4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ovatus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group (i.e.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Onthophagus</w:t>
      </w:r>
      <w:proofErr w:type="spellEnd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ruficapillus</w:t>
      </w:r>
      <w:proofErr w:type="spellEnd"/>
      <w:r w:rsidR="00B45F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Brullé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, 1832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Onthophagus</w:t>
      </w:r>
      <w:proofErr w:type="spellEnd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joannae</w:t>
      </w:r>
      <w:proofErr w:type="spellEnd"/>
      <w:r w:rsidR="00B45F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Goljan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, 1953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Onthophagus</w:t>
      </w:r>
      <w:proofErr w:type="spellEnd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i/>
          <w:sz w:val="24"/>
          <w:szCs w:val="24"/>
          <w:lang w:val="en-GB"/>
        </w:rPr>
        <w:t>grossepunctatus</w:t>
      </w:r>
      <w:proofErr w:type="spellEnd"/>
      <w:r w:rsidR="00B45F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Reitter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US"/>
        </w:rPr>
        <w:t>, 1905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) were identified using the genitalia characters proposed by Martin-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Piera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Zunino</w:t>
      </w:r>
      <w:proofErr w:type="spellEnd"/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(1986)</w:t>
      </w:r>
      <w:r w:rsidR="00B45FE4">
        <w:rPr>
          <w:rFonts w:ascii="Times New Roman" w:hAnsi="Times New Roman" w:cs="Times New Roman"/>
          <w:sz w:val="24"/>
          <w:szCs w:val="24"/>
          <w:lang w:val="en-GB"/>
        </w:rPr>
        <w:t xml:space="preserve"> based on the work of </w:t>
      </w:r>
      <w:proofErr w:type="spellStart"/>
      <w:r w:rsidR="00B45FE4">
        <w:rPr>
          <w:rFonts w:ascii="Times New Roman" w:hAnsi="Times New Roman" w:cs="Times New Roman"/>
          <w:sz w:val="24"/>
          <w:szCs w:val="24"/>
          <w:lang w:val="en-GB"/>
        </w:rPr>
        <w:t>Binaghi</w:t>
      </w:r>
      <w:proofErr w:type="spellEnd"/>
      <w:r w:rsidR="00B45FE4">
        <w:rPr>
          <w:rFonts w:ascii="Times New Roman" w:hAnsi="Times New Roman" w:cs="Times New Roman"/>
          <w:sz w:val="24"/>
          <w:szCs w:val="24"/>
          <w:lang w:val="en-GB"/>
        </w:rPr>
        <w:t xml:space="preserve"> et al</w:t>
      </w:r>
      <w:r w:rsidR="00B45FE4" w:rsidRPr="00215FC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45FE4">
        <w:rPr>
          <w:rFonts w:ascii="Times New Roman" w:hAnsi="Times New Roman" w:cs="Times New Roman"/>
          <w:sz w:val="24"/>
          <w:szCs w:val="24"/>
          <w:lang w:val="en-GB"/>
        </w:rPr>
        <w:t xml:space="preserve"> (1969).</w:t>
      </w:r>
    </w:p>
    <w:p w:rsidR="00B45FE4" w:rsidRDefault="00B45F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27DA" w:rsidRPr="006127DA" w:rsidRDefault="006127DA" w:rsidP="006127DA">
      <w:pPr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25F0">
        <w:rPr>
          <w:rFonts w:ascii="Times New Roman" w:hAnsi="Times New Roman" w:cs="Times New Roman"/>
          <w:i/>
          <w:sz w:val="24"/>
          <w:szCs w:val="24"/>
          <w:lang w:val="en-US"/>
        </w:rPr>
        <w:t>Alpha diversity</w:t>
      </w:r>
    </w:p>
    <w:p w:rsidR="006127DA" w:rsidRDefault="006127DA" w:rsidP="006127DA">
      <w:pPr>
        <w:jc w:val="left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>Hill numbers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family diver</w:t>
      </w:r>
      <w:r>
        <w:rPr>
          <w:rFonts w:ascii="Times New Roman" w:hAnsi="Times New Roman" w:cs="Times New Roman"/>
          <w:sz w:val="24"/>
          <w:szCs w:val="24"/>
          <w:lang w:val="en-US"/>
        </w:rPr>
        <w:t>sity are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measure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parameterized by the order </w:t>
      </w:r>
      <w:r w:rsidRPr="00215FC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parameter determines the sensitivity of the index </w:t>
      </w:r>
      <w:r>
        <w:rPr>
          <w:rFonts w:ascii="Times New Roman" w:hAnsi="Times New Roman" w:cs="Times New Roman"/>
          <w:sz w:val="24"/>
          <w:szCs w:val="24"/>
          <w:lang w:val="en-US"/>
        </w:rPr>
        <w:t>with respect to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rare or abundant species. For example, the diversity of </w:t>
      </w:r>
      <w:r w:rsidRPr="00215F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= 0 is completely insensitive to species abundance and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correspond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to species richness; for </w:t>
      </w:r>
      <w:r w:rsidRPr="00215F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>= 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species are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weighted proportionally to their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relative abundance and correspond to the Shannon entropy</w:t>
      </w:r>
      <w:r w:rsidRPr="00C85EE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exponential; for</w:t>
      </w:r>
      <w:r w:rsidRPr="00215FC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q 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= 2 the index is disproportionately sensi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tive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to common species and correspond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to the reciprocal of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Simpson index (</w:t>
      </w:r>
      <w:proofErr w:type="spellStart"/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Jost</w:t>
      </w:r>
      <w:proofErr w:type="spellEnd"/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2006, 2007). The results of th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ese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indices are expressed in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terms of the 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“effective number of species”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i.e. the number of equally abundant species needed to produce the same value of the diversity measure (</w:t>
      </w:r>
      <w:proofErr w:type="spellStart"/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>Jost</w:t>
      </w:r>
      <w:proofErr w:type="spellEnd"/>
      <w:r w:rsidRPr="00215FC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2006, 2007). These measures conform to the replication principle introduced by Hill (1973).</w:t>
      </w:r>
    </w:p>
    <w:p w:rsidR="006127DA" w:rsidRPr="006127DA" w:rsidRDefault="006127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5FE4" w:rsidRPr="00B45FE4" w:rsidRDefault="00B45FE4" w:rsidP="00B45FE4">
      <w:pPr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925F0">
        <w:rPr>
          <w:rFonts w:ascii="Times New Roman" w:hAnsi="Times New Roman" w:cs="Times New Roman"/>
          <w:i/>
          <w:sz w:val="24"/>
          <w:szCs w:val="24"/>
          <w:lang w:val="en-GB"/>
        </w:rPr>
        <w:t>Dung beetle biomass and abundance</w:t>
      </w:r>
    </w:p>
    <w:p w:rsidR="00B45FE4" w:rsidRDefault="00B45FE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Fewer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than 10 specimens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following species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were measured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(the figure in brackets is the number of specimens measured)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Calamosternus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mayeri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Pilleri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>, 1953) (1)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Limarus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zenkeri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US"/>
        </w:rPr>
        <w:t>Germar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US"/>
        </w:rPr>
        <w:t>, 1813)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Melinopterus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stolzi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US"/>
        </w:rPr>
        <w:t>Reitter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US"/>
        </w:rPr>
        <w:t>, 1906)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Nimbus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johnsoni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US"/>
        </w:rPr>
        <w:t>Baraud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US"/>
        </w:rPr>
        <w:t>, 1976)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Phalacronotus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biguttatus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US"/>
        </w:rPr>
        <w:t>Germar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US"/>
        </w:rPr>
        <w:t>, 1824)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Planolinus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fasciatus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FC7">
        <w:rPr>
          <w:rFonts w:ascii="Times New Roman" w:hAnsi="Times New Roman" w:cs="Times New Roman"/>
          <w:sz w:val="24"/>
          <w:szCs w:val="24"/>
          <w:lang w:val="en-US"/>
        </w:rPr>
        <w:t>(Olivier, 1789)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Trypocopris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vernalis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penninicus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Mariani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>, 1958 (4)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Nialus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varian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Duftschmid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>, 1805) (4)</w:t>
      </w:r>
      <w:r>
        <w:rPr>
          <w:rFonts w:ascii="Times New Roman" w:hAnsi="Times New Roman" w:cs="Times New Roman"/>
          <w:sz w:val="24"/>
          <w:szCs w:val="24"/>
          <w:lang w:val="en-GB"/>
        </w:rPr>
        <w:t>; and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Amidorus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thermicol</w:t>
      </w:r>
      <w:r w:rsidRPr="00B86408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(Sturm, 1800) (7).</w:t>
      </w:r>
    </w:p>
    <w:p w:rsidR="00B45FE4" w:rsidRDefault="00B45FE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45FE4" w:rsidRPr="00B45FE4" w:rsidRDefault="00B45FE4" w:rsidP="00B45FE4">
      <w:pPr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925F0">
        <w:rPr>
          <w:rFonts w:ascii="Times New Roman" w:hAnsi="Times New Roman" w:cs="Times New Roman"/>
          <w:i/>
          <w:sz w:val="24"/>
          <w:szCs w:val="24"/>
          <w:lang w:val="en-GB"/>
        </w:rPr>
        <w:t>Beta diversity</w:t>
      </w:r>
    </w:p>
    <w:p w:rsidR="00B45FE4" w:rsidRDefault="00B45FE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Like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the Hill numbers,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q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same parameter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used for </w:t>
      </w:r>
      <w:r>
        <w:rPr>
          <w:rFonts w:ascii="Times New Roman" w:hAnsi="Times New Roman" w:cs="Times New Roman"/>
          <w:sz w:val="24"/>
          <w:szCs w:val="24"/>
          <w:lang w:val="en-GB"/>
        </w:rPr>
        <w:t>alpha diversity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is the number of assemblages (sites). When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= 0,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215FC7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0N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is equivalent to the multiple community version of the classical 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Sørensen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index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hen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= 1,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215FC7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1N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correspond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to the multiple community version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Horn homogeneity measure</w:t>
      </w:r>
      <w:r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hen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= 2,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215FC7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2N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is equivalent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to the multiple community version of the 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Morisita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-Horn similarity index (Chao et al. 2012).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integer values of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q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between 2 and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overlap measures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215FC7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qN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have a simple statistical interpretation as the ratio of two probabilities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q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Gp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q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Gs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. The numerator is the probability that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randomly sampled individual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belong to the same species given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did not all come from the same assemblage. The denominator is the probability that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q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randomly sampled individuals belong to the same species given that they are all drawn from the same assemblage. This interpretation shows the depth of the measure: when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= 2 only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pairwise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similarity is considered, but when </w:t>
      </w:r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q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= 3 the measure also take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into account species that are shared by three assemblages (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GB"/>
        </w:rPr>
        <w:t>Jost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et al 2011). This measure range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from 0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when all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assemblages are completely different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terms of species composition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1 when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are identical. In summary, the measure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215FC7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qN</w:t>
      </w:r>
      <w:proofErr w:type="spellEnd"/>
      <w:r w:rsidRPr="00215F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quantifies the effective average overlap per community, i.e. the average percentage of overlapped species in 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assemblage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15FC7">
        <w:rPr>
          <w:rFonts w:ascii="Times New Roman" w:hAnsi="Times New Roman" w:cs="Times New Roman"/>
          <w:sz w:val="24"/>
          <w:szCs w:val="24"/>
          <w:lang w:val="en-GB"/>
        </w:rPr>
        <w:t>ts inverse is an estimate of the beta diversity.</w:t>
      </w:r>
    </w:p>
    <w:p w:rsidR="00DE04D6" w:rsidRDefault="00DE04D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E04D6" w:rsidRPr="00DE04D6" w:rsidRDefault="00DE04D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E04D6">
        <w:rPr>
          <w:rFonts w:ascii="Times New Roman" w:hAnsi="Times New Roman" w:cs="Times New Roman"/>
          <w:sz w:val="24"/>
          <w:szCs w:val="24"/>
          <w:lang w:val="es-ES_tradnl"/>
        </w:rPr>
        <w:t>References</w:t>
      </w:r>
    </w:p>
    <w:p w:rsidR="00DE04D6" w:rsidRPr="00DE04D6" w:rsidRDefault="00DE04D6" w:rsidP="00DE04D6">
      <w:pPr>
        <w:spacing w:line="480" w:lineRule="auto"/>
        <w:ind w:left="540" w:hanging="5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FC7">
        <w:rPr>
          <w:rFonts w:ascii="Times New Roman" w:eastAsia="Times New Roman" w:hAnsi="Times New Roman" w:cs="Times New Roman"/>
          <w:sz w:val="24"/>
          <w:szCs w:val="24"/>
          <w:lang w:val="es-ES_tradnl" w:eastAsia="it-IT"/>
        </w:rPr>
        <w:t xml:space="preserve">Baraud, J., 1992. Coléoptères Scarabaeoidea d’Europe. Faune de France. France et Régions Limitrophes. Vol. 78. Société Linnéenne de Lyon.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Lyon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, France, 856 pp.</w:t>
      </w:r>
    </w:p>
    <w:p w:rsidR="00DE04D6" w:rsidRDefault="00DE04D6" w:rsidP="00DE04D6">
      <w:pPr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Dellacasa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Dellacasa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M., 2006.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Coleoptera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Aphodiidae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Aphodiinae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Fauna d’Italia Vol. XLI,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Coleoptera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Aphodiidae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Aphodiinae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Calderini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Il Sole 24 Ore.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eastAsia="it-IT"/>
        </w:rPr>
        <w:t>Mil</w:t>
      </w:r>
      <w:r w:rsidRPr="00215FC7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>. Italia. 484 pp.</w:t>
      </w:r>
    </w:p>
    <w:p w:rsidR="00DE04D6" w:rsidRPr="00DE04D6" w:rsidRDefault="00DE04D6" w:rsidP="00DE04D6">
      <w:pPr>
        <w:spacing w:line="480" w:lineRule="auto"/>
        <w:ind w:left="540" w:hanging="5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Rössner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E.,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Fery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H., 2014. </w:t>
      </w:r>
      <w:proofErr w:type="spellStart"/>
      <w:r w:rsidRPr="00DE04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Aphodius</w:t>
      </w:r>
      <w:proofErr w:type="spellEnd"/>
      <w:r w:rsidRPr="00DE04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DE04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Biralus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DE04D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mahunkaorum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Ádám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, 1983) in Europa (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Coleoptera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Scarabaeidae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Aphodiinae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Entomologische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Zeitschrift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Schwanfeld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, 124(2): 113-121.</w:t>
      </w:r>
    </w:p>
    <w:p w:rsidR="00DE04D6" w:rsidRDefault="00DE04D6" w:rsidP="00DE04D6">
      <w:pPr>
        <w:spacing w:line="480" w:lineRule="auto"/>
        <w:ind w:left="540" w:hanging="54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Rössner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E.,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Schönfeld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J.,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Ahrens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D., 2010.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Onthophagus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Palaeonthophagus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medius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Kugelann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1792) – a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good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western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paleartic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species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Onthophagus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vacca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complex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Coleoptera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Scarabaeidae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Scarabaeinae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Onthophagini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Zootaza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2629: 1-28.</w:t>
      </w:r>
    </w:p>
    <w:p w:rsidR="00DE04D6" w:rsidRPr="00DE04D6" w:rsidRDefault="00DE04D6" w:rsidP="00DE04D6">
      <w:pPr>
        <w:spacing w:line="480" w:lineRule="auto"/>
        <w:ind w:left="540" w:hanging="5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Miraldo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A.,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Krell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F.-T.,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Smalén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M., Angus, R.B.,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Roslin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T., 2014. Making the cryptic visible – resolving the species complex of </w:t>
      </w:r>
      <w:proofErr w:type="spellStart"/>
      <w:r w:rsidRPr="00215FC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Aphodius</w:t>
      </w:r>
      <w:proofErr w:type="spellEnd"/>
      <w:r w:rsidRPr="00215FC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215FC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fimetarius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(Linnaeus) and </w:t>
      </w:r>
      <w:proofErr w:type="spellStart"/>
      <w:r w:rsidRPr="00215FC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Aphodius</w:t>
      </w:r>
      <w:proofErr w:type="spellEnd"/>
      <w:r w:rsidRPr="00215FC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215FC7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pedellus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(de </w:t>
      </w:r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Geer) (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Coleoptera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Scarabaeidae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by three complementary methods.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Systematic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Entomology</w:t>
      </w:r>
      <w:proofErr w:type="spellEnd"/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, 39: 531-547.</w:t>
      </w:r>
    </w:p>
    <w:p w:rsidR="00DE04D6" w:rsidRDefault="00DE04D6" w:rsidP="00DE04D6">
      <w:pPr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15FC7">
        <w:rPr>
          <w:rFonts w:ascii="Times New Roman" w:hAnsi="Times New Roman" w:cs="Times New Roman"/>
          <w:sz w:val="24"/>
          <w:szCs w:val="24"/>
        </w:rPr>
        <w:t>Martín-Piera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215FC7">
        <w:rPr>
          <w:rFonts w:ascii="Times New Roman" w:hAnsi="Times New Roman" w:cs="Times New Roman"/>
          <w:sz w:val="24"/>
          <w:szCs w:val="24"/>
        </w:rPr>
        <w:t>Zunino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 xml:space="preserve">, M., 1986. Analisi sistematica, filogenetica e </w:t>
      </w:r>
      <w:proofErr w:type="spellStart"/>
      <w:r w:rsidRPr="00215FC7">
        <w:rPr>
          <w:rFonts w:ascii="Times New Roman" w:hAnsi="Times New Roman" w:cs="Times New Roman"/>
          <w:sz w:val="24"/>
          <w:szCs w:val="24"/>
        </w:rPr>
        <w:t>biogeografi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5F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 xml:space="preserve"> di un gruppo di specie del sottogenere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</w:rPr>
        <w:t>Palaeonthophagus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C7">
        <w:rPr>
          <w:rFonts w:ascii="Times New Roman" w:hAnsi="Times New Roman" w:cs="Times New Roman"/>
          <w:sz w:val="24"/>
          <w:szCs w:val="24"/>
        </w:rPr>
        <w:t>Zunino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>, 1979 (</w:t>
      </w:r>
      <w:proofErr w:type="spellStart"/>
      <w:r w:rsidRPr="00215FC7">
        <w:rPr>
          <w:rFonts w:ascii="Times New Roman" w:hAnsi="Times New Roman" w:cs="Times New Roman"/>
          <w:sz w:val="24"/>
          <w:szCs w:val="24"/>
        </w:rPr>
        <w:t>Coleoptera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FC7">
        <w:rPr>
          <w:rFonts w:ascii="Times New Roman" w:hAnsi="Times New Roman" w:cs="Times New Roman"/>
          <w:sz w:val="24"/>
          <w:szCs w:val="24"/>
        </w:rPr>
        <w:t>Scarabaeidea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 xml:space="preserve">: genere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</w:rPr>
        <w:t>Onthophagus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 xml:space="preserve">): il gruppo </w:t>
      </w:r>
      <w:proofErr w:type="spellStart"/>
      <w:r w:rsidRPr="00215FC7">
        <w:rPr>
          <w:rFonts w:ascii="Times New Roman" w:hAnsi="Times New Roman" w:cs="Times New Roman"/>
          <w:i/>
          <w:sz w:val="24"/>
          <w:szCs w:val="24"/>
        </w:rPr>
        <w:t>ovatus</w:t>
      </w:r>
      <w:proofErr w:type="spellEnd"/>
      <w:r w:rsidRPr="00215FC7">
        <w:rPr>
          <w:rFonts w:ascii="Times New Roman" w:hAnsi="Times New Roman" w:cs="Times New Roman"/>
          <w:sz w:val="24"/>
          <w:szCs w:val="24"/>
        </w:rPr>
        <w:t>. Bollettino del Museo regionale di Scienze naturali di Torino, 40(2): 413-467.</w:t>
      </w:r>
    </w:p>
    <w:p w:rsidR="00DE04D6" w:rsidRPr="00DE04D6" w:rsidRDefault="00DE04D6" w:rsidP="00DE04D6">
      <w:pPr>
        <w:spacing w:line="480" w:lineRule="auto"/>
        <w:ind w:left="540" w:hanging="5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E7BF4">
        <w:rPr>
          <w:rFonts w:ascii="Times New Roman" w:eastAsia="Times New Roman" w:hAnsi="Times New Roman" w:cs="Times New Roman"/>
          <w:sz w:val="24"/>
          <w:szCs w:val="24"/>
          <w:lang w:eastAsia="it-IT"/>
        </w:rPr>
        <w:t>Binaghi</w:t>
      </w:r>
      <w:proofErr w:type="spellEnd"/>
      <w:r w:rsidRPr="00FE7B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G., </w:t>
      </w:r>
      <w:proofErr w:type="spellStart"/>
      <w:r w:rsidRPr="00FE7BF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Dellacasa</w:t>
      </w:r>
      <w:proofErr w:type="spellEnd"/>
      <w:r w:rsidRPr="00FE7BF4">
        <w:rPr>
          <w:rFonts w:ascii="Times New Roman" w:eastAsia="Times New Roman" w:hAnsi="Times New Roman" w:cs="Times New Roman"/>
          <w:sz w:val="24"/>
          <w:szCs w:val="24"/>
          <w:lang w:eastAsia="it-IT"/>
        </w:rPr>
        <w:t>, G., Poggi, R.,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1969. Nuovi caratteri diagnostici per la determinazione degli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Onthophagus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gruppo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ovatus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(L.)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geonemia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controllata delle specie Italiane del gruppo. </w:t>
      </w:r>
      <w:r w:rsidRPr="00DE04D6">
        <w:rPr>
          <w:rFonts w:ascii="Times New Roman" w:eastAsia="Times New Roman" w:hAnsi="Times New Roman" w:cs="Times New Roman"/>
          <w:sz w:val="24"/>
          <w:szCs w:val="24"/>
          <w:lang w:eastAsia="it-IT"/>
        </w:rPr>
        <w:t>Memorie della Società Entomologica Italiana, 48(IB): 29-46.</w:t>
      </w:r>
    </w:p>
    <w:p w:rsidR="00DE04D6" w:rsidRDefault="00DE04D6" w:rsidP="00DE04D6">
      <w:pPr>
        <w:autoSpaceDE w:val="0"/>
        <w:autoSpaceDN w:val="0"/>
        <w:adjustRightInd w:val="0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04D6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DE04D6">
        <w:rPr>
          <w:rFonts w:ascii="Times New Roman" w:hAnsi="Times New Roman" w:cs="Times New Roman"/>
          <w:sz w:val="24"/>
          <w:szCs w:val="24"/>
        </w:rPr>
        <w:t xml:space="preserve">, L., 2006. </w:t>
      </w:r>
      <w:proofErr w:type="spellStart"/>
      <w:r w:rsidRPr="00DE04D6">
        <w:rPr>
          <w:rFonts w:ascii="Times New Roman" w:hAnsi="Times New Roman" w:cs="Times New Roman"/>
          <w:sz w:val="24"/>
          <w:szCs w:val="24"/>
        </w:rPr>
        <w:t>Entropy</w:t>
      </w:r>
      <w:proofErr w:type="spellEnd"/>
      <w:r w:rsidRPr="00DE04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04D6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DE0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FC7">
        <w:rPr>
          <w:rFonts w:ascii="Times New Roman" w:hAnsi="Times New Roman" w:cs="Times New Roman"/>
          <w:sz w:val="24"/>
          <w:szCs w:val="24"/>
          <w:lang w:val="en-US"/>
        </w:rPr>
        <w:t>Oikos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US"/>
        </w:rPr>
        <w:t>, 113: 363–375.</w:t>
      </w:r>
    </w:p>
    <w:p w:rsidR="00DE04D6" w:rsidRDefault="00DE04D6" w:rsidP="00DE04D6">
      <w:pPr>
        <w:autoSpaceDE w:val="0"/>
        <w:autoSpaceDN w:val="0"/>
        <w:adjustRightInd w:val="0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5FC7">
        <w:rPr>
          <w:rFonts w:ascii="Times New Roman" w:hAnsi="Times New Roman" w:cs="Times New Roman"/>
          <w:sz w:val="24"/>
          <w:szCs w:val="24"/>
          <w:lang w:val="en-US"/>
        </w:rPr>
        <w:t>Jost</w:t>
      </w:r>
      <w:proofErr w:type="spellEnd"/>
      <w:r w:rsidRPr="00215FC7">
        <w:rPr>
          <w:rFonts w:ascii="Times New Roman" w:hAnsi="Times New Roman" w:cs="Times New Roman"/>
          <w:sz w:val="24"/>
          <w:szCs w:val="24"/>
          <w:lang w:val="en-US"/>
        </w:rPr>
        <w:t>, L., 2007. Partitioning diversity into independent alpha and beta components. Ecology, 88: 2427-2439.</w:t>
      </w:r>
    </w:p>
    <w:p w:rsidR="00DE04D6" w:rsidRPr="00EB6224" w:rsidRDefault="00DE04D6" w:rsidP="00DE04D6">
      <w:pPr>
        <w:autoSpaceDE w:val="0"/>
        <w:autoSpaceDN w:val="0"/>
        <w:adjustRightInd w:val="0"/>
        <w:spacing w:line="480" w:lineRule="auto"/>
        <w:ind w:left="540" w:hanging="54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15FC7">
        <w:rPr>
          <w:rFonts w:ascii="Times New Roman" w:hAnsi="Times New Roman" w:cs="Times New Roman"/>
          <w:sz w:val="24"/>
          <w:szCs w:val="24"/>
          <w:lang w:val="en-US"/>
        </w:rPr>
        <w:t>Hill, M.O. 1973. Diversity and evenness: a unifying notation and its consequences. Ecology, 54: 427-432.</w:t>
      </w:r>
    </w:p>
    <w:p w:rsidR="00DE04D6" w:rsidRDefault="00DE04D6" w:rsidP="00DE04D6">
      <w:pPr>
        <w:spacing w:line="480" w:lineRule="auto"/>
        <w:ind w:left="540" w:hanging="54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Chao, A., Chiu C.-H., Hsieh T.C. 2012. Proposing a resolution to debates on diversity partitioning. Ecology, 93(9): 2037-2051.</w:t>
      </w:r>
    </w:p>
    <w:p w:rsidR="00DE04D6" w:rsidRDefault="00DE04D6" w:rsidP="00DE04D6">
      <w:pPr>
        <w:spacing w:line="480" w:lineRule="auto"/>
        <w:ind w:left="540" w:hanging="54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Jost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L., Chao,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Chazdon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R. 2011. Compositional similarity and </w:t>
      </w:r>
      <w:r w:rsidRPr="00215FC7">
        <w:rPr>
          <w:rFonts w:ascii="Times New Roman" w:eastAsia="Times New Roman" w:hAnsi="Times New Roman" w:cs="Times New Roman"/>
          <w:sz w:val="24"/>
          <w:szCs w:val="24"/>
          <w:lang w:eastAsia="it-IT"/>
        </w:rPr>
        <w:t>β</w:t>
      </w:r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(beta) diversity. In: </w:t>
      </w:r>
      <w:proofErr w:type="spellStart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Magurran</w:t>
      </w:r>
      <w:proofErr w:type="spellEnd"/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</w:t>
      </w:r>
      <w:r w:rsidRPr="00215F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McGill, B. (Eds.). Biological Diversity: Frontiers in Measurement and Assessment. Oxford University Press, pp. 66-84.</w:t>
      </w:r>
    </w:p>
    <w:p w:rsidR="00DE04D6" w:rsidRPr="00B45FE4" w:rsidRDefault="00DE04D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04D6" w:rsidRPr="00B45FE4" w:rsidSect="00CF7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45FE4"/>
    <w:rsid w:val="00194CFA"/>
    <w:rsid w:val="00496655"/>
    <w:rsid w:val="006127DA"/>
    <w:rsid w:val="006B4E82"/>
    <w:rsid w:val="00751F19"/>
    <w:rsid w:val="009B44B4"/>
    <w:rsid w:val="00B45FE4"/>
    <w:rsid w:val="00CF7694"/>
    <w:rsid w:val="00D035E1"/>
    <w:rsid w:val="00D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6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61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Tonelli</dc:creator>
  <cp:keywords/>
  <dc:description/>
  <cp:lastModifiedBy>Mattia Tonelli</cp:lastModifiedBy>
  <cp:revision>4</cp:revision>
  <dcterms:created xsi:type="dcterms:W3CDTF">2016-09-22T09:59:00Z</dcterms:created>
  <dcterms:modified xsi:type="dcterms:W3CDTF">2016-09-23T12:25:00Z</dcterms:modified>
</cp:coreProperties>
</file>