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26" w:rsidRPr="00E7334F" w:rsidRDefault="00772F26" w:rsidP="00772F26">
      <w:pPr>
        <w:spacing w:line="480" w:lineRule="auto"/>
        <w:jc w:val="both"/>
      </w:pPr>
      <w:proofErr w:type="gramStart"/>
      <w:r w:rsidRPr="00E7334F">
        <w:t>Supplementary Table 1.</w:t>
      </w:r>
      <w:proofErr w:type="gramEnd"/>
      <w:r w:rsidRPr="00E7334F">
        <w:t xml:space="preserve"> Antibody prevalence and levels to </w:t>
      </w:r>
      <w:proofErr w:type="spellStart"/>
      <w:r w:rsidRPr="00E7334F">
        <w:t>circumsporozoite</w:t>
      </w:r>
      <w:proofErr w:type="spellEnd"/>
      <w:r w:rsidRPr="00E7334F">
        <w:t xml:space="preserve"> protein (CSP) and </w:t>
      </w:r>
      <w:proofErr w:type="spellStart"/>
      <w:r w:rsidRPr="00E7334F">
        <w:t>schizont</w:t>
      </w:r>
      <w:proofErr w:type="spellEnd"/>
      <w:r w:rsidRPr="00E7334F">
        <w:t xml:space="preserve"> extract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248"/>
        <w:gridCol w:w="1272"/>
        <w:gridCol w:w="991"/>
        <w:gridCol w:w="1529"/>
        <w:gridCol w:w="1594"/>
        <w:gridCol w:w="973"/>
      </w:tblGrid>
      <w:tr w:rsidR="00772F26" w:rsidRPr="008F1FF0" w:rsidTr="0012785B">
        <w:trPr>
          <w:trHeight w:val="1241"/>
        </w:trPr>
        <w:tc>
          <w:tcPr>
            <w:tcW w:w="886" w:type="pct"/>
            <w:shd w:val="clear" w:color="auto" w:fill="auto"/>
          </w:tcPr>
          <w:p w:rsidR="00772F26" w:rsidRPr="00E7334F" w:rsidRDefault="00772F26" w:rsidP="0012785B">
            <w:pPr>
              <w:spacing w:line="480" w:lineRule="auto"/>
              <w:ind w:right="-108"/>
            </w:pPr>
            <w:r w:rsidRPr="00E7334F">
              <w:rPr>
                <w:i/>
              </w:rPr>
              <w:t>P. falciparum</w:t>
            </w:r>
            <w:r w:rsidRPr="00E7334F">
              <w:t xml:space="preserve"> Antigen</w:t>
            </w:r>
          </w:p>
        </w:tc>
        <w:tc>
          <w:tcPr>
            <w:tcW w:w="1899" w:type="pct"/>
            <w:gridSpan w:val="3"/>
            <w:shd w:val="clear" w:color="auto" w:fill="auto"/>
          </w:tcPr>
          <w:p w:rsidR="00772F26" w:rsidRPr="00E7334F" w:rsidRDefault="00772F26" w:rsidP="0012785B">
            <w:pPr>
              <w:tabs>
                <w:tab w:val="left" w:pos="359"/>
              </w:tabs>
              <w:spacing w:line="480" w:lineRule="auto"/>
              <w:ind w:right="-108"/>
            </w:pPr>
            <w:r w:rsidRPr="00E7334F">
              <w:t>Antibody Prevalence (%)</w:t>
            </w:r>
          </w:p>
        </w:tc>
        <w:tc>
          <w:tcPr>
            <w:tcW w:w="2215" w:type="pct"/>
            <w:gridSpan w:val="3"/>
            <w:shd w:val="clear" w:color="auto" w:fill="auto"/>
          </w:tcPr>
          <w:p w:rsidR="00772F26" w:rsidRPr="00E7334F" w:rsidRDefault="00772F26" w:rsidP="0012785B">
            <w:pPr>
              <w:spacing w:line="480" w:lineRule="auto"/>
              <w:ind w:right="-108"/>
            </w:pPr>
            <w:r w:rsidRPr="00E7334F">
              <w:t>Median (25</w:t>
            </w:r>
            <w:r w:rsidRPr="00E7334F">
              <w:rPr>
                <w:vertAlign w:val="superscript"/>
              </w:rPr>
              <w:t>th</w:t>
            </w:r>
            <w:r w:rsidRPr="00E7334F">
              <w:t xml:space="preserve"> -75</w:t>
            </w:r>
            <w:r w:rsidRPr="00E7334F">
              <w:rPr>
                <w:vertAlign w:val="superscript"/>
              </w:rPr>
              <w:t>th</w:t>
            </w:r>
            <w:r w:rsidRPr="00E7334F">
              <w:t xml:space="preserve"> Percentile) Antibody Levels </w:t>
            </w:r>
          </w:p>
        </w:tc>
      </w:tr>
      <w:tr w:rsidR="00772F26" w:rsidRPr="008F1FF0" w:rsidTr="0012785B">
        <w:tc>
          <w:tcPr>
            <w:tcW w:w="886" w:type="pct"/>
            <w:shd w:val="clear" w:color="auto" w:fill="auto"/>
          </w:tcPr>
          <w:p w:rsidR="00772F26" w:rsidRPr="00E7334F" w:rsidRDefault="00772F26" w:rsidP="0012785B">
            <w:pPr>
              <w:spacing w:line="480" w:lineRule="auto"/>
              <w:ind w:right="-108"/>
            </w:pPr>
          </w:p>
        </w:tc>
        <w:tc>
          <w:tcPr>
            <w:tcW w:w="675" w:type="pct"/>
            <w:shd w:val="clear" w:color="auto" w:fill="auto"/>
          </w:tcPr>
          <w:p w:rsidR="00772F26" w:rsidRPr="00E7334F" w:rsidRDefault="00772F26" w:rsidP="0012785B">
            <w:pPr>
              <w:spacing w:line="480" w:lineRule="auto"/>
              <w:ind w:right="-108"/>
            </w:pPr>
            <w:r w:rsidRPr="00E7334F">
              <w:t>April 2008</w:t>
            </w:r>
          </w:p>
        </w:tc>
        <w:tc>
          <w:tcPr>
            <w:tcW w:w="688" w:type="pct"/>
          </w:tcPr>
          <w:p w:rsidR="00772F26" w:rsidRPr="00E7334F" w:rsidRDefault="00772F26" w:rsidP="0012785B">
            <w:pPr>
              <w:tabs>
                <w:tab w:val="left" w:pos="359"/>
              </w:tabs>
              <w:spacing w:line="480" w:lineRule="auto"/>
              <w:ind w:right="-108"/>
            </w:pPr>
            <w:r w:rsidRPr="00E7334F">
              <w:t>April 2009</w:t>
            </w:r>
          </w:p>
        </w:tc>
        <w:tc>
          <w:tcPr>
            <w:tcW w:w="536" w:type="pct"/>
            <w:shd w:val="clear" w:color="auto" w:fill="auto"/>
          </w:tcPr>
          <w:p w:rsidR="00772F26" w:rsidRPr="00E7334F" w:rsidRDefault="00772F26" w:rsidP="0012785B">
            <w:pPr>
              <w:tabs>
                <w:tab w:val="left" w:pos="359"/>
              </w:tabs>
              <w:spacing w:line="480" w:lineRule="auto"/>
              <w:ind w:right="-108"/>
            </w:pPr>
            <w:r w:rsidRPr="00E7334F">
              <w:rPr>
                <w:i/>
              </w:rPr>
              <w:t>P</w:t>
            </w:r>
            <w:r w:rsidRPr="00E7334F">
              <w:rPr>
                <w:vertAlign w:val="superscript"/>
              </w:rPr>
              <w:t>a</w:t>
            </w:r>
          </w:p>
        </w:tc>
        <w:tc>
          <w:tcPr>
            <w:tcW w:w="827" w:type="pct"/>
            <w:shd w:val="clear" w:color="auto" w:fill="auto"/>
          </w:tcPr>
          <w:p w:rsidR="00772F26" w:rsidRPr="00E7334F" w:rsidRDefault="00772F26" w:rsidP="0012785B">
            <w:pPr>
              <w:tabs>
                <w:tab w:val="left" w:pos="359"/>
              </w:tabs>
              <w:spacing w:line="480" w:lineRule="auto"/>
              <w:ind w:right="-108"/>
            </w:pPr>
            <w:r w:rsidRPr="00E7334F">
              <w:t xml:space="preserve">April 2008 </w:t>
            </w:r>
          </w:p>
        </w:tc>
        <w:tc>
          <w:tcPr>
            <w:tcW w:w="862" w:type="pct"/>
            <w:shd w:val="clear" w:color="auto" w:fill="auto"/>
          </w:tcPr>
          <w:p w:rsidR="00772F26" w:rsidRPr="00E7334F" w:rsidRDefault="00772F26" w:rsidP="0012785B">
            <w:pPr>
              <w:tabs>
                <w:tab w:val="left" w:pos="359"/>
              </w:tabs>
              <w:spacing w:line="480" w:lineRule="auto"/>
              <w:ind w:right="-108"/>
            </w:pPr>
            <w:r w:rsidRPr="00E7334F">
              <w:t>April 2009</w:t>
            </w:r>
          </w:p>
        </w:tc>
        <w:tc>
          <w:tcPr>
            <w:tcW w:w="526" w:type="pct"/>
            <w:shd w:val="clear" w:color="auto" w:fill="auto"/>
          </w:tcPr>
          <w:p w:rsidR="00772F26" w:rsidRPr="00E7334F" w:rsidRDefault="00772F26" w:rsidP="0012785B">
            <w:pPr>
              <w:spacing w:line="480" w:lineRule="auto"/>
              <w:ind w:right="-108"/>
            </w:pPr>
            <w:proofErr w:type="spellStart"/>
            <w:r w:rsidRPr="00E7334F">
              <w:rPr>
                <w:i/>
              </w:rPr>
              <w:t>P</w:t>
            </w:r>
            <w:r w:rsidRPr="00E7334F">
              <w:rPr>
                <w:vertAlign w:val="superscript"/>
              </w:rPr>
              <w:t>b</w:t>
            </w:r>
            <w:proofErr w:type="spellEnd"/>
          </w:p>
        </w:tc>
      </w:tr>
      <w:tr w:rsidR="00772F26" w:rsidRPr="008F1FF0" w:rsidTr="0012785B">
        <w:tc>
          <w:tcPr>
            <w:tcW w:w="886" w:type="pct"/>
            <w:shd w:val="clear" w:color="auto" w:fill="auto"/>
          </w:tcPr>
          <w:p w:rsidR="00772F26" w:rsidRPr="00E7334F" w:rsidRDefault="00772F26" w:rsidP="0012785B">
            <w:pPr>
              <w:spacing w:line="480" w:lineRule="auto"/>
              <w:ind w:right="-108"/>
            </w:pPr>
            <w:r w:rsidRPr="00E7334F">
              <w:t>CSP</w:t>
            </w:r>
          </w:p>
        </w:tc>
        <w:tc>
          <w:tcPr>
            <w:tcW w:w="675" w:type="pct"/>
            <w:shd w:val="clear" w:color="auto" w:fill="auto"/>
          </w:tcPr>
          <w:p w:rsidR="00772F26" w:rsidRPr="00E7334F" w:rsidRDefault="00772F26" w:rsidP="0012785B">
            <w:pPr>
              <w:spacing w:line="480" w:lineRule="auto"/>
              <w:ind w:right="-108"/>
            </w:pPr>
            <w:r w:rsidRPr="00E7334F">
              <w:t>8.3</w:t>
            </w:r>
          </w:p>
        </w:tc>
        <w:tc>
          <w:tcPr>
            <w:tcW w:w="688" w:type="pct"/>
          </w:tcPr>
          <w:p w:rsidR="00772F26" w:rsidRPr="00E7334F" w:rsidRDefault="00772F26" w:rsidP="0012785B">
            <w:pPr>
              <w:tabs>
                <w:tab w:val="left" w:pos="359"/>
              </w:tabs>
              <w:spacing w:line="480" w:lineRule="auto"/>
              <w:ind w:right="-108"/>
            </w:pPr>
            <w:r w:rsidRPr="00E7334F">
              <w:t>4.5</w:t>
            </w:r>
          </w:p>
        </w:tc>
        <w:tc>
          <w:tcPr>
            <w:tcW w:w="536" w:type="pct"/>
            <w:shd w:val="clear" w:color="auto" w:fill="auto"/>
          </w:tcPr>
          <w:p w:rsidR="00772F26" w:rsidRPr="00E7334F" w:rsidRDefault="00772F26" w:rsidP="0012785B">
            <w:pPr>
              <w:tabs>
                <w:tab w:val="left" w:pos="359"/>
              </w:tabs>
              <w:spacing w:line="480" w:lineRule="auto"/>
              <w:ind w:right="-108"/>
            </w:pPr>
            <w:r w:rsidRPr="00E7334F">
              <w:t>0.11</w:t>
            </w:r>
          </w:p>
        </w:tc>
        <w:tc>
          <w:tcPr>
            <w:tcW w:w="827" w:type="pct"/>
            <w:shd w:val="clear" w:color="auto" w:fill="auto"/>
          </w:tcPr>
          <w:p w:rsidR="00772F26" w:rsidRPr="00E7334F" w:rsidRDefault="00772F26" w:rsidP="0012785B">
            <w:pPr>
              <w:tabs>
                <w:tab w:val="left" w:pos="359"/>
              </w:tabs>
              <w:spacing w:line="480" w:lineRule="auto"/>
              <w:ind w:right="-108"/>
            </w:pPr>
            <w:r w:rsidRPr="00E7334F">
              <w:t>0.6 (0.4 – 0.8)</w:t>
            </w:r>
          </w:p>
        </w:tc>
        <w:tc>
          <w:tcPr>
            <w:tcW w:w="862" w:type="pct"/>
            <w:shd w:val="clear" w:color="auto" w:fill="auto"/>
          </w:tcPr>
          <w:p w:rsidR="00772F26" w:rsidRPr="00E7334F" w:rsidRDefault="00772F26" w:rsidP="0012785B">
            <w:pPr>
              <w:tabs>
                <w:tab w:val="left" w:pos="359"/>
              </w:tabs>
              <w:spacing w:line="480" w:lineRule="auto"/>
              <w:ind w:right="-108"/>
            </w:pPr>
            <w:r w:rsidRPr="00E7334F">
              <w:t>0.5 (0.4 – 0.6)</w:t>
            </w:r>
          </w:p>
        </w:tc>
        <w:tc>
          <w:tcPr>
            <w:tcW w:w="526" w:type="pct"/>
            <w:shd w:val="clear" w:color="auto" w:fill="auto"/>
          </w:tcPr>
          <w:p w:rsidR="00772F26" w:rsidRPr="00E7334F" w:rsidRDefault="00772F26" w:rsidP="0012785B">
            <w:pPr>
              <w:spacing w:line="480" w:lineRule="auto"/>
              <w:ind w:right="-108"/>
            </w:pPr>
            <w:r w:rsidRPr="00E7334F">
              <w:t>&lt;0.0001</w:t>
            </w:r>
          </w:p>
        </w:tc>
      </w:tr>
      <w:tr w:rsidR="00772F26" w:rsidRPr="008F1FF0" w:rsidTr="0012785B">
        <w:tc>
          <w:tcPr>
            <w:tcW w:w="886" w:type="pct"/>
            <w:shd w:val="clear" w:color="auto" w:fill="auto"/>
          </w:tcPr>
          <w:p w:rsidR="00772F26" w:rsidRPr="00E7334F" w:rsidRDefault="00772F26" w:rsidP="0012785B">
            <w:pPr>
              <w:spacing w:line="480" w:lineRule="auto"/>
              <w:ind w:right="-108"/>
            </w:pPr>
            <w:proofErr w:type="spellStart"/>
            <w:r w:rsidRPr="00E7334F">
              <w:t>schizont</w:t>
            </w:r>
            <w:proofErr w:type="spellEnd"/>
            <w:r w:rsidRPr="00E7334F">
              <w:t xml:space="preserve"> extract</w:t>
            </w:r>
          </w:p>
        </w:tc>
        <w:tc>
          <w:tcPr>
            <w:tcW w:w="675" w:type="pct"/>
            <w:shd w:val="clear" w:color="auto" w:fill="auto"/>
          </w:tcPr>
          <w:p w:rsidR="00772F26" w:rsidRPr="00E7334F" w:rsidRDefault="00772F26" w:rsidP="0012785B">
            <w:pPr>
              <w:spacing w:line="480" w:lineRule="auto"/>
              <w:ind w:right="-108"/>
            </w:pPr>
            <w:r w:rsidRPr="00E7334F">
              <w:t>7.0</w:t>
            </w:r>
          </w:p>
        </w:tc>
        <w:tc>
          <w:tcPr>
            <w:tcW w:w="688" w:type="pct"/>
          </w:tcPr>
          <w:p w:rsidR="00772F26" w:rsidRPr="00E7334F" w:rsidRDefault="00772F26" w:rsidP="0012785B">
            <w:pPr>
              <w:tabs>
                <w:tab w:val="left" w:pos="359"/>
              </w:tabs>
              <w:spacing w:line="480" w:lineRule="auto"/>
              <w:ind w:right="-108"/>
            </w:pPr>
            <w:r w:rsidRPr="00E7334F">
              <w:t>0.0</w:t>
            </w:r>
          </w:p>
        </w:tc>
        <w:tc>
          <w:tcPr>
            <w:tcW w:w="536" w:type="pct"/>
            <w:shd w:val="clear" w:color="auto" w:fill="auto"/>
          </w:tcPr>
          <w:p w:rsidR="00772F26" w:rsidRPr="00E7334F" w:rsidRDefault="00772F26" w:rsidP="0012785B">
            <w:pPr>
              <w:tabs>
                <w:tab w:val="left" w:pos="359"/>
              </w:tabs>
              <w:spacing w:line="480" w:lineRule="auto"/>
              <w:ind w:right="-108"/>
            </w:pPr>
            <w:r w:rsidRPr="00E7334F">
              <w:t>&lt;0.0001</w:t>
            </w:r>
          </w:p>
        </w:tc>
        <w:tc>
          <w:tcPr>
            <w:tcW w:w="827" w:type="pct"/>
            <w:shd w:val="clear" w:color="auto" w:fill="auto"/>
          </w:tcPr>
          <w:p w:rsidR="00772F26" w:rsidRPr="00E7334F" w:rsidRDefault="00772F26" w:rsidP="0012785B">
            <w:pPr>
              <w:tabs>
                <w:tab w:val="left" w:pos="359"/>
              </w:tabs>
              <w:spacing w:line="480" w:lineRule="auto"/>
              <w:ind w:right="-108"/>
            </w:pPr>
            <w:r w:rsidRPr="00E7334F">
              <w:t>0.5 (0.4 – 0.7)</w:t>
            </w:r>
          </w:p>
        </w:tc>
        <w:tc>
          <w:tcPr>
            <w:tcW w:w="862" w:type="pct"/>
            <w:shd w:val="clear" w:color="auto" w:fill="auto"/>
          </w:tcPr>
          <w:p w:rsidR="00772F26" w:rsidRPr="00E7334F" w:rsidRDefault="00772F26" w:rsidP="0012785B">
            <w:pPr>
              <w:tabs>
                <w:tab w:val="left" w:pos="359"/>
              </w:tabs>
              <w:spacing w:line="480" w:lineRule="auto"/>
              <w:ind w:right="-108"/>
            </w:pPr>
            <w:r w:rsidRPr="00E7334F">
              <w:t>0.4 (0.3 – 0.4)</w:t>
            </w:r>
          </w:p>
        </w:tc>
        <w:tc>
          <w:tcPr>
            <w:tcW w:w="526" w:type="pct"/>
            <w:shd w:val="clear" w:color="auto" w:fill="auto"/>
          </w:tcPr>
          <w:p w:rsidR="00772F26" w:rsidRPr="00E7334F" w:rsidRDefault="00772F26" w:rsidP="0012785B">
            <w:pPr>
              <w:spacing w:line="480" w:lineRule="auto"/>
              <w:ind w:right="-108"/>
            </w:pPr>
            <w:r w:rsidRPr="00E7334F">
              <w:t>&lt;0.0001</w:t>
            </w:r>
          </w:p>
        </w:tc>
      </w:tr>
    </w:tbl>
    <w:p w:rsidR="00772F26" w:rsidRPr="008F1FF0" w:rsidRDefault="00772F26" w:rsidP="00772F26">
      <w:pPr>
        <w:autoSpaceDE/>
        <w:autoSpaceDN/>
        <w:adjustRightInd/>
        <w:spacing w:before="240" w:line="480" w:lineRule="auto"/>
      </w:pPr>
      <w:proofErr w:type="gramStart"/>
      <w:r w:rsidRPr="008F1FF0">
        <w:rPr>
          <w:vertAlign w:val="superscript"/>
        </w:rPr>
        <w:t>a</w:t>
      </w:r>
      <w:proofErr w:type="gramEnd"/>
      <w:r w:rsidRPr="008F1FF0">
        <w:t xml:space="preserve"> Prevalence of antibodies between April 2008 and April 2009 were compared by </w:t>
      </w:r>
      <w:proofErr w:type="spellStart"/>
      <w:r w:rsidRPr="008F1FF0">
        <w:t>McNemar’s</w:t>
      </w:r>
      <w:proofErr w:type="spellEnd"/>
      <w:r w:rsidRPr="008F1FF0">
        <w:t xml:space="preserve"> test</w:t>
      </w:r>
    </w:p>
    <w:p w:rsidR="00772F26" w:rsidRDefault="00772F26" w:rsidP="00D25F64">
      <w:pPr>
        <w:autoSpaceDE/>
        <w:autoSpaceDN/>
        <w:adjustRightInd/>
        <w:spacing w:before="240" w:line="480" w:lineRule="auto"/>
      </w:pPr>
      <w:r w:rsidRPr="008F1FF0">
        <w:rPr>
          <w:vertAlign w:val="superscript"/>
        </w:rPr>
        <w:t>b</w:t>
      </w:r>
      <w:r w:rsidRPr="008F1FF0">
        <w:t xml:space="preserve"> Levels of antibodies between April 2008 and April 2009 were compared by Wilcoxon-signed rank sum test</w:t>
      </w:r>
      <w:bookmarkStart w:id="0" w:name="_GoBack"/>
      <w:bookmarkEnd w:id="0"/>
    </w:p>
    <w:p w:rsidR="00772F26" w:rsidRDefault="00772F26" w:rsidP="00772F26">
      <w:pPr>
        <w:spacing w:line="480" w:lineRule="auto"/>
        <w:jc w:val="both"/>
      </w:pPr>
    </w:p>
    <w:sectPr w:rsidR="00772F26" w:rsidSect="0081746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26"/>
    <w:rsid w:val="00772F26"/>
    <w:rsid w:val="0081488D"/>
    <w:rsid w:val="00D2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F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2F2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F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2F2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2016-02-09T15:27:00Z</dcterms:created>
  <dcterms:modified xsi:type="dcterms:W3CDTF">2016-02-09T15:27:00Z</dcterms:modified>
</cp:coreProperties>
</file>