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26" w:rsidRPr="008F1FF0" w:rsidRDefault="00772F26" w:rsidP="00772F26">
      <w:pPr>
        <w:spacing w:line="480" w:lineRule="auto"/>
        <w:jc w:val="both"/>
      </w:pPr>
      <w:bookmarkStart w:id="0" w:name="_GoBack"/>
      <w:bookmarkEnd w:id="0"/>
      <w:proofErr w:type="gramStart"/>
      <w:r w:rsidRPr="008F1FF0">
        <w:t>Supplementary Table 2.</w:t>
      </w:r>
      <w:proofErr w:type="gramEnd"/>
      <w:r w:rsidRPr="008F1FF0">
        <w:t xml:space="preserve"> Batch analysis of IFN-γ levels to </w:t>
      </w:r>
      <w:r>
        <w:rPr>
          <w:i/>
        </w:rPr>
        <w:t>P. falciparum</w:t>
      </w:r>
      <w:r>
        <w:t xml:space="preserve"> antigens in 30 samples collected in April 2008, October 2008 and April 2009.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2056"/>
        <w:gridCol w:w="2071"/>
        <w:gridCol w:w="2248"/>
        <w:gridCol w:w="1398"/>
      </w:tblGrid>
      <w:tr w:rsidR="00772F26" w:rsidRPr="008F1FF0" w:rsidTr="0012785B">
        <w:tc>
          <w:tcPr>
            <w:tcW w:w="796" w:type="pct"/>
            <w:tcBorders>
              <w:top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>
              <w:t>Antigen</w:t>
            </w:r>
          </w:p>
        </w:tc>
        <w:tc>
          <w:tcPr>
            <w:tcW w:w="3448" w:type="pct"/>
            <w:gridSpan w:val="3"/>
            <w:tcBorders>
              <w:top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  <w:rPr>
                <w:rFonts w:eastAsiaTheme="majorEastAsia"/>
                <w:i/>
                <w:iCs/>
                <w:color w:val="404040" w:themeColor="text1" w:themeTint="BF"/>
              </w:rPr>
            </w:pPr>
            <w:r>
              <w:t>Median (10</w:t>
            </w:r>
            <w:r>
              <w:rPr>
                <w:vertAlign w:val="superscript"/>
              </w:rPr>
              <w:t>th</w:t>
            </w:r>
            <w:r>
              <w:t xml:space="preserve"> , 90</w:t>
            </w:r>
            <w:r>
              <w:rPr>
                <w:vertAlign w:val="superscript"/>
              </w:rPr>
              <w:t>th</w:t>
            </w:r>
            <w:r>
              <w:t xml:space="preserve"> percentile) </w:t>
            </w:r>
            <w:proofErr w:type="spellStart"/>
            <w:r>
              <w:t>pg</w:t>
            </w:r>
            <w:proofErr w:type="spellEnd"/>
            <w:r>
              <w:t>/ml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</w:p>
        </w:tc>
      </w:tr>
      <w:tr w:rsidR="00772F26" w:rsidRPr="008F1FF0" w:rsidTr="0012785B">
        <w:tc>
          <w:tcPr>
            <w:tcW w:w="796" w:type="pct"/>
            <w:tcBorders>
              <w:bottom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April 2008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October 2008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April 2009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i/>
                <w:vertAlign w:val="superscript"/>
              </w:rPr>
              <w:t>a</w:t>
            </w:r>
          </w:p>
        </w:tc>
      </w:tr>
      <w:tr w:rsidR="00772F26" w:rsidRPr="008F1FF0" w:rsidTr="0012785B">
        <w:tc>
          <w:tcPr>
            <w:tcW w:w="796" w:type="pct"/>
            <w:tcBorders>
              <w:top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>
              <w:t>CSP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192.4 (0.0, 850.1)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 (0.0, 842.8)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  <w:rPr>
                <w:rFonts w:eastAsiaTheme="majorEastAsia"/>
                <w:i/>
                <w:iCs/>
                <w:color w:val="404040" w:themeColor="text1" w:themeTint="BF"/>
              </w:rPr>
            </w:pPr>
            <w:r>
              <w:t>10.64 (0.0, 134.2)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&lt; 0.0001</w:t>
            </w:r>
          </w:p>
        </w:tc>
      </w:tr>
      <w:tr w:rsidR="00772F26" w:rsidRPr="008F1FF0" w:rsidTr="0012785B">
        <w:tc>
          <w:tcPr>
            <w:tcW w:w="796" w:type="pct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>
              <w:t>LSA-1</w:t>
            </w:r>
          </w:p>
        </w:tc>
        <w:tc>
          <w:tcPr>
            <w:tcW w:w="1112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168.5 (0.15, 1722)</w:t>
            </w:r>
          </w:p>
        </w:tc>
        <w:tc>
          <w:tcPr>
            <w:tcW w:w="1120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 (0.0, 45.32)</w:t>
            </w:r>
          </w:p>
        </w:tc>
        <w:tc>
          <w:tcPr>
            <w:tcW w:w="1216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  <w:rPr>
                <w:rFonts w:eastAsiaTheme="majorEastAsia"/>
                <w:i/>
                <w:iCs/>
                <w:color w:val="404040" w:themeColor="text1" w:themeTint="BF"/>
              </w:rPr>
            </w:pPr>
            <w:r>
              <w:t>0.0 (0.0, 179.4)</w:t>
            </w:r>
          </w:p>
        </w:tc>
        <w:tc>
          <w:tcPr>
            <w:tcW w:w="756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&lt; 0.0001</w:t>
            </w:r>
          </w:p>
        </w:tc>
      </w:tr>
      <w:tr w:rsidR="00772F26" w:rsidRPr="008F1FF0" w:rsidTr="0012785B">
        <w:tc>
          <w:tcPr>
            <w:tcW w:w="796" w:type="pct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>
              <w:t>TRAP</w:t>
            </w:r>
          </w:p>
        </w:tc>
        <w:tc>
          <w:tcPr>
            <w:tcW w:w="1112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51.46 (0.0, 496.8)</w:t>
            </w:r>
          </w:p>
        </w:tc>
        <w:tc>
          <w:tcPr>
            <w:tcW w:w="1120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 (0.0, 110.8)</w:t>
            </w:r>
          </w:p>
        </w:tc>
        <w:tc>
          <w:tcPr>
            <w:tcW w:w="1216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  <w:rPr>
                <w:rFonts w:eastAsiaTheme="majorEastAsia"/>
                <w:i/>
                <w:iCs/>
              </w:rPr>
            </w:pPr>
            <w:r>
              <w:t>0.0 (0.0, 6.16)</w:t>
            </w:r>
          </w:p>
        </w:tc>
        <w:tc>
          <w:tcPr>
            <w:tcW w:w="756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0.0001</w:t>
            </w:r>
          </w:p>
        </w:tc>
      </w:tr>
      <w:tr w:rsidR="00772F26" w:rsidRPr="008F1FF0" w:rsidTr="0012785B">
        <w:tc>
          <w:tcPr>
            <w:tcW w:w="796" w:type="pct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>
              <w:t>AMA-1</w:t>
            </w:r>
          </w:p>
        </w:tc>
        <w:tc>
          <w:tcPr>
            <w:tcW w:w="1112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 (0.0, 487.5)</w:t>
            </w:r>
          </w:p>
        </w:tc>
        <w:tc>
          <w:tcPr>
            <w:tcW w:w="1120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 (0.0, 27.06)</w:t>
            </w:r>
          </w:p>
        </w:tc>
        <w:tc>
          <w:tcPr>
            <w:tcW w:w="1216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  <w:rPr>
                <w:rFonts w:eastAsiaTheme="majorEastAsia"/>
                <w:i/>
                <w:iCs/>
                <w:color w:val="404040" w:themeColor="text1" w:themeTint="BF"/>
              </w:rPr>
            </w:pPr>
            <w:r>
              <w:t>0.0 (0.0, 24.02)</w:t>
            </w:r>
          </w:p>
        </w:tc>
        <w:tc>
          <w:tcPr>
            <w:tcW w:w="756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0.0576</w:t>
            </w:r>
          </w:p>
        </w:tc>
      </w:tr>
      <w:tr w:rsidR="00772F26" w:rsidRPr="008F1FF0" w:rsidTr="0012785B">
        <w:tc>
          <w:tcPr>
            <w:tcW w:w="796" w:type="pct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>
              <w:t>MB2</w:t>
            </w:r>
          </w:p>
        </w:tc>
        <w:tc>
          <w:tcPr>
            <w:tcW w:w="1112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 (0.0, 361.3)</w:t>
            </w:r>
          </w:p>
        </w:tc>
        <w:tc>
          <w:tcPr>
            <w:tcW w:w="1120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 (0.0, 6.156)</w:t>
            </w:r>
          </w:p>
        </w:tc>
        <w:tc>
          <w:tcPr>
            <w:tcW w:w="1216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  <w:rPr>
                <w:rFonts w:eastAsiaTheme="majorEastAsia"/>
                <w:i/>
                <w:iCs/>
                <w:color w:val="404040" w:themeColor="text1" w:themeTint="BF"/>
              </w:rPr>
            </w:pPr>
            <w:r>
              <w:t>0.0 (0.0, 23.48)</w:t>
            </w:r>
          </w:p>
        </w:tc>
        <w:tc>
          <w:tcPr>
            <w:tcW w:w="756" w:type="pct"/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0.0024</w:t>
            </w:r>
          </w:p>
        </w:tc>
      </w:tr>
      <w:tr w:rsidR="00772F26" w:rsidRPr="008F1FF0" w:rsidTr="0012785B">
        <w:tc>
          <w:tcPr>
            <w:tcW w:w="796" w:type="pct"/>
            <w:tcBorders>
              <w:bottom w:val="single" w:sz="4" w:space="0" w:color="auto"/>
            </w:tcBorders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rPr>
                <w:rFonts w:eastAsiaTheme="majorEastAsia" w:cstheme="majorBidi"/>
                <w:i/>
                <w:iCs/>
                <w:color w:val="404040" w:themeColor="text1" w:themeTint="BF"/>
              </w:rPr>
            </w:pPr>
            <w:r>
              <w:t>MSP-1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242.2 (0.0, 1160)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0.0 (0.0, 12.71)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  <w:rPr>
                <w:rFonts w:eastAsiaTheme="majorEastAsia"/>
                <w:i/>
                <w:iCs/>
                <w:color w:val="404040" w:themeColor="text1" w:themeTint="BF"/>
              </w:rPr>
            </w:pPr>
            <w:r>
              <w:t>0.0 (0.0, 36.46)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bottom"/>
          </w:tcPr>
          <w:p w:rsidR="00772F26" w:rsidRPr="008F1FF0" w:rsidRDefault="00772F26" w:rsidP="0012785B">
            <w:pPr>
              <w:autoSpaceDE/>
              <w:autoSpaceDN/>
              <w:adjustRightInd/>
              <w:spacing w:line="480" w:lineRule="auto"/>
              <w:jc w:val="center"/>
            </w:pPr>
            <w:r>
              <w:t>&lt; 0.0001</w:t>
            </w:r>
          </w:p>
        </w:tc>
      </w:tr>
    </w:tbl>
    <w:p w:rsidR="00772F26" w:rsidRDefault="00772F26" w:rsidP="00772F26">
      <w:pPr>
        <w:autoSpaceDE/>
        <w:autoSpaceDN/>
        <w:adjustRightInd/>
        <w:spacing w:line="480" w:lineRule="auto"/>
      </w:pPr>
      <w:proofErr w:type="gramStart"/>
      <w:r>
        <w:rPr>
          <w:vertAlign w:val="superscript"/>
        </w:rPr>
        <w:t>a</w:t>
      </w:r>
      <w:proofErr w:type="gramEnd"/>
      <w:r>
        <w:t xml:space="preserve"> Differences in IFN-γ levels over time were compared by </w:t>
      </w:r>
      <w:proofErr w:type="spellStart"/>
      <w:r>
        <w:t>Kruskal</w:t>
      </w:r>
      <w:proofErr w:type="spellEnd"/>
      <w:r>
        <w:t xml:space="preserve">-Wallis test. </w:t>
      </w:r>
    </w:p>
    <w:p w:rsidR="0081488D" w:rsidRDefault="0081488D"/>
    <w:sectPr w:rsidR="0081488D" w:rsidSect="0081746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772F26"/>
    <w:rsid w:val="0081488D"/>
    <w:rsid w:val="00AC1820"/>
    <w:rsid w:val="00C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F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F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2016-02-09T15:26:00Z</dcterms:created>
  <dcterms:modified xsi:type="dcterms:W3CDTF">2016-02-09T15:27:00Z</dcterms:modified>
</cp:coreProperties>
</file>