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EE" w:rsidRDefault="00F67AB1" w:rsidP="00A752EE">
      <w:pPr>
        <w:spacing w:line="240" w:lineRule="auto"/>
      </w:pPr>
      <w:r>
        <w:t xml:space="preserve">ONLINE </w:t>
      </w:r>
      <w:r w:rsidR="00A752EE">
        <w:t>SUPPLEMENTARY MATERIAL</w:t>
      </w:r>
    </w:p>
    <w:p w:rsidR="00A752EE" w:rsidRDefault="00A752EE" w:rsidP="00A752EE">
      <w:pPr>
        <w:spacing w:line="240" w:lineRule="auto"/>
      </w:pPr>
      <w:r>
        <w:t xml:space="preserve">Loveridge et al, </w:t>
      </w:r>
      <w:r w:rsidR="00155416" w:rsidRPr="00155416">
        <w:rPr>
          <w:b/>
        </w:rPr>
        <w:t>Bells, bomas and beefsteak:</w:t>
      </w:r>
      <w:r w:rsidR="00155416">
        <w:t xml:space="preserve"> </w:t>
      </w:r>
      <w:r w:rsidR="00175D66" w:rsidRPr="00B50023">
        <w:rPr>
          <w:b/>
        </w:rPr>
        <w:t>Complex patterns of human-predator</w:t>
      </w:r>
      <w:r w:rsidR="00964371">
        <w:rPr>
          <w:b/>
        </w:rPr>
        <w:t xml:space="preserve"> conflict at the wil</w:t>
      </w:r>
      <w:bookmarkStart w:id="0" w:name="_GoBack"/>
      <w:bookmarkEnd w:id="0"/>
      <w:r w:rsidR="00964371">
        <w:rPr>
          <w:b/>
        </w:rPr>
        <w:t>dlife-</w:t>
      </w:r>
      <w:r w:rsidR="00175D66" w:rsidRPr="00B50023">
        <w:rPr>
          <w:b/>
        </w:rPr>
        <w:t>agropastoral interface</w:t>
      </w:r>
      <w:r w:rsidR="00964371">
        <w:rPr>
          <w:b/>
        </w:rPr>
        <w:t xml:space="preserve"> in Zimbabwe</w:t>
      </w:r>
    </w:p>
    <w:p w:rsidR="00A752EE" w:rsidRDefault="00A752EE" w:rsidP="00A752EE">
      <w:pPr>
        <w:spacing w:line="240" w:lineRule="auto"/>
      </w:pPr>
    </w:p>
    <w:p w:rsidR="00A752EE" w:rsidRDefault="00A752EE" w:rsidP="00A752EE">
      <w:pPr>
        <w:spacing w:line="240" w:lineRule="auto"/>
      </w:pPr>
      <w:r>
        <w:t xml:space="preserve">Table </w:t>
      </w:r>
      <w:r w:rsidR="00AC7459">
        <w:t>S</w:t>
      </w:r>
      <w:r>
        <w:t>1. Number of attack incidents by predator and livestock species in (A) Tsholotsho, (B) Maba</w:t>
      </w:r>
      <w:r w:rsidR="00C906C0">
        <w:t>le and (C) Mvuthu study sites</w:t>
      </w:r>
      <w:r>
        <w:t xml:space="preserve"> (2009 - 2013).</w:t>
      </w:r>
    </w:p>
    <w:tbl>
      <w:tblPr>
        <w:tblW w:w="9095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52"/>
        <w:gridCol w:w="1220"/>
        <w:gridCol w:w="742"/>
        <w:gridCol w:w="913"/>
        <w:gridCol w:w="711"/>
        <w:gridCol w:w="601"/>
        <w:gridCol w:w="754"/>
        <w:gridCol w:w="601"/>
        <w:gridCol w:w="821"/>
        <w:gridCol w:w="1180"/>
      </w:tblGrid>
      <w:tr w:rsidR="00A752EE" w:rsidRPr="0013580E" w:rsidTr="00427AA3">
        <w:trPr>
          <w:trHeight w:val="300"/>
        </w:trPr>
        <w:tc>
          <w:tcPr>
            <w:tcW w:w="1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A752EE" w:rsidRPr="000503A0" w:rsidRDefault="00D72292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>
              <w:rPr>
                <w:sz w:val="20"/>
                <w:szCs w:val="20"/>
                <w:lang w:val="en-ZA" w:eastAsia="en-ZA"/>
              </w:rPr>
              <w:t>Site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Predator</w:t>
            </w:r>
          </w:p>
        </w:tc>
        <w:tc>
          <w:tcPr>
            <w:tcW w:w="4322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Livestock Species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Total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% of total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Cattle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Donkey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Goat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Pig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Sheep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Dog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(A)Tsholotsho</w:t>
            </w:r>
          </w:p>
        </w:tc>
        <w:tc>
          <w:tcPr>
            <w:tcW w:w="122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Lion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204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2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290</w:t>
            </w:r>
          </w:p>
        </w:tc>
        <w:tc>
          <w:tcPr>
            <w:tcW w:w="118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38.98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Hy</w:t>
            </w:r>
            <w:r w:rsidR="00620D2C">
              <w:rPr>
                <w:sz w:val="20"/>
                <w:szCs w:val="20"/>
                <w:lang w:val="en-ZA" w:eastAsia="en-ZA"/>
              </w:rPr>
              <w:t>a</w:t>
            </w:r>
            <w:r w:rsidRPr="000503A0">
              <w:rPr>
                <w:sz w:val="20"/>
                <w:szCs w:val="20"/>
                <w:lang w:val="en-ZA" w:eastAsia="en-ZA"/>
              </w:rPr>
              <w:t>ena</w:t>
            </w: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249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155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54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431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57.93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Leopard</w:t>
            </w:r>
          </w:p>
        </w:tc>
        <w:tc>
          <w:tcPr>
            <w:tcW w:w="74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913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71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54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82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21</w:t>
            </w:r>
          </w:p>
        </w:tc>
        <w:tc>
          <w:tcPr>
            <w:tcW w:w="118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2.82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Cheetah</w:t>
            </w: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54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0.13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Caracal</w:t>
            </w:r>
          </w:p>
        </w:tc>
        <w:tc>
          <w:tcPr>
            <w:tcW w:w="74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913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1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54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82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18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0.13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Total</w:t>
            </w: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463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229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54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744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100.00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% of total</w:t>
            </w:r>
          </w:p>
        </w:tc>
        <w:tc>
          <w:tcPr>
            <w:tcW w:w="74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62.23</w:t>
            </w:r>
          </w:p>
        </w:tc>
        <w:tc>
          <w:tcPr>
            <w:tcW w:w="913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30.78</w:t>
            </w:r>
          </w:p>
        </w:tc>
        <w:tc>
          <w:tcPr>
            <w:tcW w:w="71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6.72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54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0.27</w:t>
            </w:r>
          </w:p>
        </w:tc>
        <w:tc>
          <w:tcPr>
            <w:tcW w:w="82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100.00</w:t>
            </w:r>
          </w:p>
        </w:tc>
        <w:tc>
          <w:tcPr>
            <w:tcW w:w="118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(B) Mabale</w:t>
            </w:r>
          </w:p>
        </w:tc>
        <w:tc>
          <w:tcPr>
            <w:tcW w:w="122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Lion</w:t>
            </w:r>
          </w:p>
        </w:tc>
        <w:tc>
          <w:tcPr>
            <w:tcW w:w="74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179</w:t>
            </w:r>
          </w:p>
        </w:tc>
        <w:tc>
          <w:tcPr>
            <w:tcW w:w="913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71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754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82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276</w:t>
            </w:r>
          </w:p>
        </w:tc>
        <w:tc>
          <w:tcPr>
            <w:tcW w:w="118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57.26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Hy</w:t>
            </w:r>
            <w:r w:rsidR="00620D2C">
              <w:rPr>
                <w:sz w:val="20"/>
                <w:szCs w:val="20"/>
                <w:lang w:val="en-ZA" w:eastAsia="en-ZA"/>
              </w:rPr>
              <w:t>a</w:t>
            </w:r>
            <w:r w:rsidRPr="000503A0">
              <w:rPr>
                <w:sz w:val="20"/>
                <w:szCs w:val="20"/>
                <w:lang w:val="en-ZA" w:eastAsia="en-ZA"/>
              </w:rPr>
              <w:t>ena</w:t>
            </w: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21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94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754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167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34.65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Leopard</w:t>
            </w:r>
          </w:p>
        </w:tc>
        <w:tc>
          <w:tcPr>
            <w:tcW w:w="74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913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71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54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82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34</w:t>
            </w:r>
          </w:p>
        </w:tc>
        <w:tc>
          <w:tcPr>
            <w:tcW w:w="118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7.05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Cheetah</w:t>
            </w: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54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1.04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Total</w:t>
            </w:r>
          </w:p>
        </w:tc>
        <w:tc>
          <w:tcPr>
            <w:tcW w:w="74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243</w:t>
            </w:r>
          </w:p>
        </w:tc>
        <w:tc>
          <w:tcPr>
            <w:tcW w:w="913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66</w:t>
            </w:r>
          </w:p>
        </w:tc>
        <w:tc>
          <w:tcPr>
            <w:tcW w:w="71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155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754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82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482*</w:t>
            </w:r>
          </w:p>
        </w:tc>
        <w:tc>
          <w:tcPr>
            <w:tcW w:w="118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100.00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% of total</w:t>
            </w: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50.41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13.69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32.16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1.04</w:t>
            </w:r>
          </w:p>
        </w:tc>
        <w:tc>
          <w:tcPr>
            <w:tcW w:w="754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1.87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0.83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100.00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74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913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71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754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82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18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vMerge w:val="restart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(C) Mvuthu</w:t>
            </w: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Lion</w:t>
            </w: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117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41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754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185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60.66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vMerge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Hy</w:t>
            </w:r>
            <w:r w:rsidR="00620D2C">
              <w:rPr>
                <w:sz w:val="20"/>
                <w:szCs w:val="20"/>
                <w:lang w:val="en-ZA" w:eastAsia="en-ZA"/>
              </w:rPr>
              <w:t>a</w:t>
            </w:r>
            <w:r w:rsidRPr="000503A0">
              <w:rPr>
                <w:sz w:val="20"/>
                <w:szCs w:val="20"/>
                <w:lang w:val="en-ZA" w:eastAsia="en-ZA"/>
              </w:rPr>
              <w:t>ena</w:t>
            </w:r>
          </w:p>
        </w:tc>
        <w:tc>
          <w:tcPr>
            <w:tcW w:w="74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913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75</w:t>
            </w:r>
          </w:p>
        </w:tc>
        <w:tc>
          <w:tcPr>
            <w:tcW w:w="71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54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82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110</w:t>
            </w:r>
          </w:p>
        </w:tc>
        <w:tc>
          <w:tcPr>
            <w:tcW w:w="118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36.07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vMerge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Leopard</w:t>
            </w: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54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1.64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vMerge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Jackal</w:t>
            </w:r>
          </w:p>
        </w:tc>
        <w:tc>
          <w:tcPr>
            <w:tcW w:w="74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913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1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54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82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18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1.64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vMerge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Total</w:t>
            </w: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149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116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31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754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305*</w:t>
            </w:r>
          </w:p>
        </w:tc>
        <w:tc>
          <w:tcPr>
            <w:tcW w:w="118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100.00</w:t>
            </w:r>
          </w:p>
        </w:tc>
      </w:tr>
      <w:tr w:rsidR="00A752EE" w:rsidRPr="0013580E" w:rsidTr="00427AA3">
        <w:trPr>
          <w:trHeight w:val="300"/>
        </w:trPr>
        <w:tc>
          <w:tcPr>
            <w:tcW w:w="155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22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% of total</w:t>
            </w:r>
          </w:p>
        </w:tc>
        <w:tc>
          <w:tcPr>
            <w:tcW w:w="74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48.85</w:t>
            </w:r>
          </w:p>
        </w:tc>
        <w:tc>
          <w:tcPr>
            <w:tcW w:w="913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38.03</w:t>
            </w:r>
          </w:p>
        </w:tc>
        <w:tc>
          <w:tcPr>
            <w:tcW w:w="71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10.16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1.97</w:t>
            </w:r>
          </w:p>
        </w:tc>
        <w:tc>
          <w:tcPr>
            <w:tcW w:w="754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0.66</w:t>
            </w:r>
          </w:p>
        </w:tc>
        <w:tc>
          <w:tcPr>
            <w:tcW w:w="60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0.33</w:t>
            </w:r>
          </w:p>
        </w:tc>
        <w:tc>
          <w:tcPr>
            <w:tcW w:w="821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100.00</w:t>
            </w:r>
          </w:p>
        </w:tc>
        <w:tc>
          <w:tcPr>
            <w:tcW w:w="118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</w:tr>
    </w:tbl>
    <w:p w:rsidR="00A752EE" w:rsidRDefault="00A752EE" w:rsidP="00A752EE">
      <w:pPr>
        <w:spacing w:line="240" w:lineRule="auto"/>
      </w:pPr>
      <w:r>
        <w:t xml:space="preserve">*Totals are greater than those quoted in the text because a small number of incidents involved injury and/or death to </w:t>
      </w:r>
      <w:r w:rsidRPr="00C906C0">
        <w:t>more than one</w:t>
      </w:r>
      <w:r>
        <w:t xml:space="preserve"> livestock species. </w:t>
      </w:r>
    </w:p>
    <w:p w:rsidR="00A752EE" w:rsidRDefault="00A752EE" w:rsidP="00A752EE">
      <w:pPr>
        <w:spacing w:line="240" w:lineRule="auto"/>
      </w:pPr>
    </w:p>
    <w:p w:rsidR="00A752EE" w:rsidRDefault="00A752EE" w:rsidP="00A752EE"/>
    <w:p w:rsidR="00A752EE" w:rsidRPr="00F97E1F" w:rsidRDefault="00A752EE" w:rsidP="00A752EE">
      <w:pPr>
        <w:spacing w:line="240" w:lineRule="auto"/>
        <w:rPr>
          <w:b/>
        </w:rPr>
      </w:pPr>
      <w:r>
        <w:lastRenderedPageBreak/>
        <w:t xml:space="preserve">Table </w:t>
      </w:r>
      <w:r w:rsidR="00AC7459">
        <w:t>S</w:t>
      </w:r>
      <w:r>
        <w:t>2. Average numbers of the three main livestock species</w:t>
      </w:r>
      <w:r w:rsidRPr="00862CC2">
        <w:t xml:space="preserve"> </w:t>
      </w:r>
      <w:r>
        <w:t xml:space="preserve">per </w:t>
      </w:r>
      <w:r w:rsidR="00391A9D">
        <w:t xml:space="preserve">farmstead </w:t>
      </w:r>
      <w:r>
        <w:t>in the Tsholotsho, Mabale, an</w:t>
      </w:r>
      <w:r w:rsidR="00620D2C">
        <w:t>d Mvuthu study sites.</w:t>
      </w:r>
    </w:p>
    <w:tbl>
      <w:tblPr>
        <w:tblW w:w="9242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26"/>
        <w:gridCol w:w="1843"/>
        <w:gridCol w:w="1859"/>
        <w:gridCol w:w="2007"/>
        <w:gridCol w:w="2007"/>
      </w:tblGrid>
      <w:tr w:rsidR="00A752EE" w:rsidRPr="0037351C" w:rsidTr="00427AA3">
        <w:trPr>
          <w:trHeight w:val="300"/>
        </w:trPr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752EE" w:rsidRPr="0037351C" w:rsidRDefault="00620D2C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>
              <w:rPr>
                <w:sz w:val="20"/>
                <w:szCs w:val="20"/>
                <w:lang w:val="en-ZA" w:eastAsia="en-ZA"/>
              </w:rPr>
              <w:t>Study site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752EE" w:rsidRPr="00391A9D" w:rsidRDefault="00A752EE" w:rsidP="00391A9D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 xml:space="preserve">No. of </w:t>
            </w:r>
            <w:r w:rsidR="00391A9D">
              <w:rPr>
                <w:sz w:val="20"/>
                <w:szCs w:val="20"/>
                <w:lang w:val="en-ZA" w:eastAsia="en-ZA"/>
              </w:rPr>
              <w:t>farm</w:t>
            </w:r>
            <w:r w:rsidRPr="0037351C">
              <w:rPr>
                <w:sz w:val="20"/>
                <w:szCs w:val="20"/>
                <w:lang w:val="en-ZA" w:eastAsia="en-ZA"/>
              </w:rPr>
              <w:t>s</w:t>
            </w:r>
            <w:r w:rsidR="00391A9D">
              <w:rPr>
                <w:sz w:val="20"/>
                <w:szCs w:val="20"/>
                <w:lang w:val="en-ZA" w:eastAsia="en-ZA"/>
              </w:rPr>
              <w:t>teads</w:t>
            </w:r>
          </w:p>
        </w:tc>
        <w:tc>
          <w:tcPr>
            <w:tcW w:w="587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Mean no. of livestock per household [mean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ZA" w:eastAsia="en-ZA"/>
                </w:rPr>
                <m:t xml:space="preserve"> ± </m:t>
              </m:r>
            </m:oMath>
            <w:r w:rsidRPr="0037351C">
              <w:rPr>
                <w:sz w:val="20"/>
                <w:szCs w:val="20"/>
                <w:lang w:val="en-ZA" w:eastAsia="en-ZA"/>
              </w:rPr>
              <w:t>SD (range)]</w:t>
            </w:r>
          </w:p>
        </w:tc>
      </w:tr>
      <w:tr w:rsidR="00A752EE" w:rsidRPr="0037351C" w:rsidTr="00427AA3">
        <w:trPr>
          <w:trHeight w:val="300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Cattle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Donkeys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Goats</w:t>
            </w:r>
          </w:p>
        </w:tc>
      </w:tr>
      <w:tr w:rsidR="00A752EE" w:rsidRPr="0037351C" w:rsidTr="00427AA3">
        <w:trPr>
          <w:trHeight w:val="300"/>
        </w:trPr>
        <w:tc>
          <w:tcPr>
            <w:tcW w:w="1526" w:type="dxa"/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Tsholotsho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232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4.68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ZA" w:eastAsia="en-ZA"/>
                </w:rPr>
                <m:t xml:space="preserve"> ± </m:t>
              </m:r>
            </m:oMath>
            <w:r w:rsidRPr="0037351C">
              <w:rPr>
                <w:sz w:val="20"/>
                <w:szCs w:val="20"/>
                <w:lang w:val="en-ZA" w:eastAsia="en-ZA"/>
              </w:rPr>
              <w:t>6.32 (0-44)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2.20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ZA" w:eastAsia="en-ZA"/>
                </w:rPr>
                <m:t xml:space="preserve"> ± </m:t>
              </m:r>
            </m:oMath>
            <w:r w:rsidRPr="0037351C">
              <w:rPr>
                <w:sz w:val="20"/>
                <w:szCs w:val="20"/>
                <w:lang w:val="en-ZA" w:eastAsia="en-ZA"/>
              </w:rPr>
              <w:t>3.14 (0-16)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4.64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ZA" w:eastAsia="en-ZA"/>
                </w:rPr>
                <m:t xml:space="preserve"> ± </m:t>
              </m:r>
            </m:oMath>
            <w:r w:rsidRPr="0037351C">
              <w:rPr>
                <w:sz w:val="20"/>
                <w:szCs w:val="20"/>
                <w:lang w:val="en-ZA" w:eastAsia="en-ZA"/>
              </w:rPr>
              <w:t>6.05 (0-42)</w:t>
            </w:r>
          </w:p>
        </w:tc>
      </w:tr>
      <w:tr w:rsidR="00A752EE" w:rsidRPr="0037351C" w:rsidTr="00427AA3">
        <w:trPr>
          <w:trHeight w:val="300"/>
        </w:trPr>
        <w:tc>
          <w:tcPr>
            <w:tcW w:w="152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Mabale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121</w:t>
            </w:r>
          </w:p>
        </w:tc>
        <w:tc>
          <w:tcPr>
            <w:tcW w:w="1859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4.24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ZA" w:eastAsia="en-ZA"/>
                </w:rPr>
                <m:t xml:space="preserve"> ± </m:t>
              </m:r>
            </m:oMath>
            <w:r w:rsidRPr="0037351C">
              <w:rPr>
                <w:sz w:val="20"/>
                <w:szCs w:val="20"/>
                <w:lang w:val="en-ZA" w:eastAsia="en-ZA"/>
              </w:rPr>
              <w:t>5.60 (0-38)</w:t>
            </w:r>
          </w:p>
        </w:tc>
        <w:tc>
          <w:tcPr>
            <w:tcW w:w="2007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0.72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ZA" w:eastAsia="en-ZA"/>
                </w:rPr>
                <m:t xml:space="preserve"> ± </m:t>
              </m:r>
            </m:oMath>
            <w:r w:rsidRPr="0037351C">
              <w:rPr>
                <w:sz w:val="20"/>
                <w:szCs w:val="20"/>
                <w:lang w:val="en-ZA" w:eastAsia="en-ZA"/>
              </w:rPr>
              <w:t>1.72 (0-10)</w:t>
            </w:r>
          </w:p>
        </w:tc>
        <w:tc>
          <w:tcPr>
            <w:tcW w:w="2007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4.72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ZA" w:eastAsia="en-ZA"/>
                </w:rPr>
                <m:t xml:space="preserve"> ± </m:t>
              </m:r>
            </m:oMath>
            <w:r w:rsidRPr="0037351C">
              <w:rPr>
                <w:sz w:val="20"/>
                <w:szCs w:val="20"/>
                <w:lang w:val="en-ZA" w:eastAsia="en-ZA"/>
              </w:rPr>
              <w:t>4.61 (0-22)</w:t>
            </w:r>
          </w:p>
        </w:tc>
      </w:tr>
      <w:tr w:rsidR="00A752EE" w:rsidRPr="0037351C" w:rsidTr="00427AA3">
        <w:trPr>
          <w:trHeight w:val="300"/>
        </w:trPr>
        <w:tc>
          <w:tcPr>
            <w:tcW w:w="1526" w:type="dxa"/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Mvuthu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271</w:t>
            </w:r>
          </w:p>
        </w:tc>
        <w:tc>
          <w:tcPr>
            <w:tcW w:w="1859" w:type="dxa"/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3.83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ZA" w:eastAsia="en-ZA"/>
                </w:rPr>
                <m:t xml:space="preserve"> ± </m:t>
              </m:r>
            </m:oMath>
            <w:r w:rsidRPr="0037351C">
              <w:rPr>
                <w:sz w:val="20"/>
                <w:szCs w:val="20"/>
                <w:lang w:val="en-ZA" w:eastAsia="en-ZA"/>
              </w:rPr>
              <w:t>5.36 (0-39)</w:t>
            </w:r>
          </w:p>
        </w:tc>
        <w:tc>
          <w:tcPr>
            <w:tcW w:w="2007" w:type="dxa"/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1.21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ZA" w:eastAsia="en-ZA"/>
                </w:rPr>
                <m:t xml:space="preserve"> ± </m:t>
              </m:r>
            </m:oMath>
            <w:r w:rsidRPr="0037351C">
              <w:rPr>
                <w:sz w:val="20"/>
                <w:szCs w:val="20"/>
                <w:lang w:val="en-ZA" w:eastAsia="en-ZA"/>
              </w:rPr>
              <w:t>2.59 (0-20)</w:t>
            </w:r>
          </w:p>
        </w:tc>
        <w:tc>
          <w:tcPr>
            <w:tcW w:w="2007" w:type="dxa"/>
            <w:shd w:val="clear" w:color="auto" w:fill="FFFFFF"/>
            <w:noWrap/>
            <w:hideMark/>
          </w:tcPr>
          <w:p w:rsidR="00A752EE" w:rsidRPr="0037351C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37351C">
              <w:rPr>
                <w:sz w:val="20"/>
                <w:szCs w:val="20"/>
                <w:lang w:val="en-ZA" w:eastAsia="en-ZA"/>
              </w:rPr>
              <w:t>3.37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ZA" w:eastAsia="en-ZA"/>
                </w:rPr>
                <m:t xml:space="preserve"> ± </m:t>
              </m:r>
            </m:oMath>
            <w:r w:rsidRPr="0037351C">
              <w:rPr>
                <w:sz w:val="20"/>
                <w:szCs w:val="20"/>
                <w:lang w:val="en-ZA" w:eastAsia="en-ZA"/>
              </w:rPr>
              <w:t>5.46 (0-39)</w:t>
            </w:r>
          </w:p>
        </w:tc>
      </w:tr>
    </w:tbl>
    <w:p w:rsidR="00A752EE" w:rsidRDefault="00A752EE" w:rsidP="00A752EE">
      <w:pPr>
        <w:spacing w:line="240" w:lineRule="auto"/>
      </w:pPr>
    </w:p>
    <w:p w:rsidR="00A752EE" w:rsidRDefault="00A752EE" w:rsidP="00A752EE">
      <w:pPr>
        <w:spacing w:line="240" w:lineRule="auto"/>
      </w:pPr>
    </w:p>
    <w:p w:rsidR="00A752EE" w:rsidRDefault="00A752EE" w:rsidP="00A752EE">
      <w:pPr>
        <w:spacing w:line="240" w:lineRule="auto"/>
      </w:pPr>
      <w:r>
        <w:t xml:space="preserve">Table </w:t>
      </w:r>
      <w:r w:rsidR="00AC7459">
        <w:t>S</w:t>
      </w:r>
      <w:r>
        <w:t xml:space="preserve">3. A comparison between the proportion of livestock with bells in the Tsholotsho, Mabale and Mvuthu </w:t>
      </w:r>
      <w:r w:rsidR="00C906C0">
        <w:t xml:space="preserve">study sites </w:t>
      </w:r>
      <w:r>
        <w:t>and the proportion of livestock attacked by lions and hy</w:t>
      </w:r>
      <w:r w:rsidR="00620D2C">
        <w:t>a</w:t>
      </w:r>
      <w:r>
        <w:t xml:space="preserve">enas that had bells (2009-2013 attack incident data). </w:t>
      </w:r>
    </w:p>
    <w:tbl>
      <w:tblPr>
        <w:tblW w:w="776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520"/>
        <w:gridCol w:w="2132"/>
        <w:gridCol w:w="1985"/>
        <w:gridCol w:w="2126"/>
      </w:tblGrid>
      <w:tr w:rsidR="00A752EE" w:rsidRPr="0013580E" w:rsidTr="00427AA3">
        <w:trPr>
          <w:trHeight w:val="600"/>
        </w:trPr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752EE" w:rsidRPr="0013580E" w:rsidRDefault="00D72292" w:rsidP="00427AA3">
            <w:pPr>
              <w:spacing w:line="240" w:lineRule="auto"/>
              <w:rPr>
                <w:b/>
                <w:lang w:val="en-ZA" w:eastAsia="en-ZA"/>
              </w:rPr>
            </w:pPr>
            <w:r>
              <w:rPr>
                <w:lang w:val="en-ZA" w:eastAsia="en-ZA"/>
              </w:rPr>
              <w:t>Site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752EE" w:rsidRPr="0013580E" w:rsidRDefault="00A752EE" w:rsidP="00427AA3">
            <w:pPr>
              <w:spacing w:line="240" w:lineRule="auto"/>
              <w:rPr>
                <w:b/>
                <w:lang w:val="en-ZA" w:eastAsia="en-ZA"/>
              </w:rPr>
            </w:pPr>
            <w:r w:rsidRPr="0013580E">
              <w:rPr>
                <w:lang w:val="en-ZA" w:eastAsia="en-ZA"/>
              </w:rPr>
              <w:t>Proportion of livestock with bells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752EE" w:rsidRPr="0013580E" w:rsidRDefault="00A752EE" w:rsidP="00427AA3">
            <w:pPr>
              <w:spacing w:line="240" w:lineRule="auto"/>
              <w:rPr>
                <w:b/>
                <w:lang w:val="en-ZA" w:eastAsia="en-ZA"/>
              </w:rPr>
            </w:pPr>
            <w:r w:rsidRPr="0013580E">
              <w:rPr>
                <w:lang w:val="en-ZA" w:eastAsia="en-ZA"/>
              </w:rPr>
              <w:t>Proportion of attacked livestock with bells</w:t>
            </w:r>
          </w:p>
        </w:tc>
      </w:tr>
      <w:tr w:rsidR="00A752EE" w:rsidRPr="0013580E" w:rsidTr="00427AA3">
        <w:trPr>
          <w:trHeight w:val="300"/>
        </w:trPr>
        <w:tc>
          <w:tcPr>
            <w:tcW w:w="1520" w:type="dxa"/>
            <w:tcBorders>
              <w:left w:val="nil"/>
              <w:right w:val="nil"/>
            </w:tcBorders>
            <w:shd w:val="clear" w:color="auto" w:fill="FFFFFF"/>
            <w:hideMark/>
          </w:tcPr>
          <w:p w:rsidR="00A752EE" w:rsidRPr="0013580E" w:rsidRDefault="00A752EE" w:rsidP="00427AA3">
            <w:pPr>
              <w:spacing w:line="240" w:lineRule="auto"/>
              <w:rPr>
                <w:lang w:val="en-ZA" w:eastAsia="en-ZA"/>
              </w:rPr>
            </w:pPr>
          </w:p>
        </w:tc>
        <w:tc>
          <w:tcPr>
            <w:tcW w:w="2132" w:type="dxa"/>
            <w:tcBorders>
              <w:left w:val="nil"/>
              <w:right w:val="nil"/>
            </w:tcBorders>
            <w:shd w:val="clear" w:color="auto" w:fill="FFFFFF"/>
            <w:hideMark/>
          </w:tcPr>
          <w:p w:rsidR="00A752EE" w:rsidRPr="0013580E" w:rsidRDefault="00A752EE" w:rsidP="00427AA3">
            <w:pPr>
              <w:spacing w:line="240" w:lineRule="auto"/>
              <w:rPr>
                <w:lang w:val="en-ZA" w:eastAsia="en-ZA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/>
            <w:hideMark/>
          </w:tcPr>
          <w:p w:rsidR="00A752EE" w:rsidRPr="0013580E" w:rsidRDefault="00A752EE" w:rsidP="00427AA3">
            <w:pPr>
              <w:spacing w:line="240" w:lineRule="auto"/>
              <w:rPr>
                <w:lang w:val="en-ZA" w:eastAsia="en-ZA"/>
              </w:rPr>
            </w:pPr>
            <w:r w:rsidRPr="0013580E">
              <w:rPr>
                <w:lang w:val="en-ZA" w:eastAsia="en-ZA"/>
              </w:rPr>
              <w:t>Lion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  <w:hideMark/>
          </w:tcPr>
          <w:p w:rsidR="00A752EE" w:rsidRPr="0013580E" w:rsidRDefault="00A752EE" w:rsidP="00427AA3">
            <w:pPr>
              <w:spacing w:line="240" w:lineRule="auto"/>
              <w:rPr>
                <w:lang w:val="en-ZA" w:eastAsia="en-ZA"/>
              </w:rPr>
            </w:pPr>
            <w:r w:rsidRPr="0013580E">
              <w:rPr>
                <w:lang w:val="en-ZA" w:eastAsia="en-ZA"/>
              </w:rPr>
              <w:t>Hy</w:t>
            </w:r>
            <w:r w:rsidR="00620D2C">
              <w:rPr>
                <w:lang w:val="en-ZA" w:eastAsia="en-ZA"/>
              </w:rPr>
              <w:t>a</w:t>
            </w:r>
            <w:r w:rsidRPr="0013580E">
              <w:rPr>
                <w:lang w:val="en-ZA" w:eastAsia="en-ZA"/>
              </w:rPr>
              <w:t>ena</w:t>
            </w:r>
          </w:p>
        </w:tc>
      </w:tr>
      <w:tr w:rsidR="00A752EE" w:rsidRPr="000503A0" w:rsidTr="00427AA3">
        <w:trPr>
          <w:trHeight w:val="300"/>
        </w:trPr>
        <w:tc>
          <w:tcPr>
            <w:tcW w:w="152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Tsholotsho</w:t>
            </w:r>
          </w:p>
        </w:tc>
        <w:tc>
          <w:tcPr>
            <w:tcW w:w="213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0.165 (553 of 3342)</w:t>
            </w:r>
          </w:p>
        </w:tc>
        <w:tc>
          <w:tcPr>
            <w:tcW w:w="1985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0.381 (40 of 105)</w:t>
            </w:r>
          </w:p>
        </w:tc>
        <w:tc>
          <w:tcPr>
            <w:tcW w:w="2126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0.491 (105 of 214)</w:t>
            </w:r>
          </w:p>
        </w:tc>
      </w:tr>
      <w:tr w:rsidR="00A752EE" w:rsidRPr="000503A0" w:rsidTr="00427AA3">
        <w:trPr>
          <w:trHeight w:val="300"/>
        </w:trPr>
        <w:tc>
          <w:tcPr>
            <w:tcW w:w="1520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Mabale</w:t>
            </w:r>
          </w:p>
        </w:tc>
        <w:tc>
          <w:tcPr>
            <w:tcW w:w="2132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0.294 (396 of 1349)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0.405 (15 of 37)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0.770 (47 of 61)</w:t>
            </w:r>
          </w:p>
        </w:tc>
      </w:tr>
      <w:tr w:rsidR="00A752EE" w:rsidRPr="000503A0" w:rsidTr="00427AA3">
        <w:trPr>
          <w:trHeight w:val="300"/>
        </w:trPr>
        <w:tc>
          <w:tcPr>
            <w:tcW w:w="1520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b/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Mvuthu</w:t>
            </w:r>
          </w:p>
        </w:tc>
        <w:tc>
          <w:tcPr>
            <w:tcW w:w="2132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0.234 (675 of 2884)</w:t>
            </w:r>
          </w:p>
        </w:tc>
        <w:tc>
          <w:tcPr>
            <w:tcW w:w="1985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0.266 (49 of 184)</w:t>
            </w:r>
          </w:p>
        </w:tc>
        <w:tc>
          <w:tcPr>
            <w:tcW w:w="2126" w:type="dxa"/>
            <w:shd w:val="clear" w:color="auto" w:fill="FFFFFF"/>
            <w:noWrap/>
            <w:hideMark/>
          </w:tcPr>
          <w:p w:rsidR="00A752EE" w:rsidRPr="000503A0" w:rsidRDefault="00A752EE" w:rsidP="00427AA3">
            <w:pPr>
              <w:spacing w:line="240" w:lineRule="auto"/>
              <w:rPr>
                <w:sz w:val="20"/>
                <w:szCs w:val="20"/>
                <w:lang w:val="en-ZA" w:eastAsia="en-ZA"/>
              </w:rPr>
            </w:pPr>
            <w:r w:rsidRPr="000503A0">
              <w:rPr>
                <w:sz w:val="20"/>
                <w:szCs w:val="20"/>
                <w:lang w:val="en-ZA" w:eastAsia="en-ZA"/>
              </w:rPr>
              <w:t>0.282 (31 of 110)</w:t>
            </w:r>
          </w:p>
        </w:tc>
      </w:tr>
    </w:tbl>
    <w:p w:rsidR="00A752EE" w:rsidRDefault="00A752EE" w:rsidP="00A752EE">
      <w:pPr>
        <w:spacing w:line="240" w:lineRule="auto"/>
      </w:pPr>
    </w:p>
    <w:p w:rsidR="008A107F" w:rsidRDefault="00FF64C6" w:rsidP="00A752EE">
      <w:pPr>
        <w:spacing w:line="240" w:lineRule="auto"/>
      </w:pPr>
      <w:r>
        <w:t xml:space="preserve">Table S4. </w:t>
      </w:r>
      <w:r w:rsidR="00704B8A">
        <w:t xml:space="preserve">Mean annual financial losses (US dollar ± SD) incurred to the main predator species in each </w:t>
      </w:r>
      <w:r w:rsidR="00D72292">
        <w:t>site</w:t>
      </w:r>
      <w:r w:rsidR="00EA1674">
        <w:t xml:space="preserve"> (2009-2013)</w:t>
      </w:r>
      <w:r w:rsidR="00704B8A">
        <w:t xml:space="preserve">, </w:t>
      </w:r>
      <w:r w:rsidR="00EA1674">
        <w:t xml:space="preserve">mean annual losses to all predators in each </w:t>
      </w:r>
      <w:r w:rsidR="00D72292">
        <w:t>site</w:t>
      </w:r>
      <w:r w:rsidR="00704B8A">
        <w:t xml:space="preserve"> (Total) and loss per </w:t>
      </w:r>
      <w:r w:rsidR="00485704">
        <w:t xml:space="preserve">farmstead </w:t>
      </w:r>
      <w:r w:rsidR="00EA1674">
        <w:t xml:space="preserve">in each </w:t>
      </w:r>
      <w:r w:rsidR="00D72292">
        <w:t>site</w:t>
      </w:r>
      <w:r w:rsidR="00EA1674">
        <w:t xml:space="preserve"> (annual loss</w:t>
      </w:r>
      <w:r w:rsidR="00704B8A">
        <w:t xml:space="preserve"> per </w:t>
      </w:r>
      <w:r w:rsidR="00D72292">
        <w:t>site</w:t>
      </w:r>
      <w:r w:rsidR="00704B8A">
        <w:t xml:space="preserve">/ number of </w:t>
      </w:r>
      <w:r w:rsidR="00485704">
        <w:t>farmstead</w:t>
      </w:r>
      <w:r w:rsidR="00704B8A">
        <w:t>s).</w:t>
      </w: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1630"/>
        <w:gridCol w:w="1064"/>
        <w:gridCol w:w="1134"/>
        <w:gridCol w:w="1275"/>
        <w:gridCol w:w="1134"/>
        <w:gridCol w:w="1276"/>
        <w:gridCol w:w="1276"/>
      </w:tblGrid>
      <w:tr w:rsidR="00FF64C6" w:rsidRPr="007A06BD" w:rsidTr="007A06BD"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</w:tcPr>
          <w:p w:rsidR="00FF64C6" w:rsidRPr="007A06BD" w:rsidRDefault="00FF64C6" w:rsidP="00A752E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:rsidR="00FF64C6" w:rsidRPr="007A06BD" w:rsidRDefault="00FF64C6" w:rsidP="00FF64C6">
            <w:pPr>
              <w:spacing w:line="240" w:lineRule="auto"/>
              <w:jc w:val="center"/>
            </w:pPr>
            <w:r w:rsidRPr="007A06BD">
              <w:t>Lion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FF64C6" w:rsidRPr="007A06BD" w:rsidRDefault="00FF64C6" w:rsidP="00FF64C6">
            <w:pPr>
              <w:spacing w:line="240" w:lineRule="auto"/>
              <w:jc w:val="center"/>
            </w:pPr>
            <w:r w:rsidRPr="007A06BD">
              <w:t>Hyaena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FF64C6" w:rsidRPr="007A06BD" w:rsidRDefault="00FF64C6" w:rsidP="00FF64C6">
            <w:pPr>
              <w:spacing w:line="240" w:lineRule="auto"/>
              <w:jc w:val="center"/>
            </w:pPr>
            <w:r w:rsidRPr="007A06BD">
              <w:t>Leopard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FF64C6" w:rsidRPr="007A06BD" w:rsidRDefault="00FF64C6" w:rsidP="00FF64C6">
            <w:pPr>
              <w:spacing w:line="240" w:lineRule="auto"/>
              <w:jc w:val="center"/>
            </w:pPr>
            <w:r w:rsidRPr="007A06BD">
              <w:t>Cheetah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FF64C6" w:rsidRPr="007A06BD" w:rsidRDefault="00FF64C6" w:rsidP="00FF64C6">
            <w:pPr>
              <w:spacing w:line="240" w:lineRule="auto"/>
              <w:jc w:val="center"/>
            </w:pPr>
            <w:r w:rsidRPr="007A06BD">
              <w:t>TOTAL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FF64C6" w:rsidRPr="007A06BD" w:rsidRDefault="00FF64C6" w:rsidP="00FF64C6">
            <w:pPr>
              <w:spacing w:line="240" w:lineRule="auto"/>
              <w:jc w:val="center"/>
            </w:pPr>
            <w:r w:rsidRPr="007A06BD">
              <w:t>Total/ Household</w:t>
            </w:r>
          </w:p>
        </w:tc>
      </w:tr>
      <w:tr w:rsidR="00FF64C6" w:rsidRPr="007A06BD" w:rsidTr="007A06BD"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:rsidR="007A06BD" w:rsidRDefault="007A06BD" w:rsidP="007A06BD">
            <w:pPr>
              <w:spacing w:after="0" w:line="240" w:lineRule="auto"/>
              <w:rPr>
                <w:sz w:val="20"/>
                <w:szCs w:val="20"/>
              </w:rPr>
            </w:pPr>
          </w:p>
          <w:p w:rsidR="00FF64C6" w:rsidRDefault="00FF64C6" w:rsidP="007A06BD">
            <w:pPr>
              <w:spacing w:after="0" w:line="240" w:lineRule="auto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Tsholotsho</w:t>
            </w:r>
          </w:p>
          <w:p w:rsidR="007A06BD" w:rsidRDefault="007A06BD" w:rsidP="007A06BD">
            <w:pPr>
              <w:spacing w:after="0" w:line="240" w:lineRule="auto"/>
              <w:rPr>
                <w:sz w:val="20"/>
                <w:szCs w:val="20"/>
              </w:rPr>
            </w:pPr>
          </w:p>
          <w:p w:rsidR="007A06BD" w:rsidRDefault="007A06BD" w:rsidP="007A06BD">
            <w:pPr>
              <w:spacing w:after="0" w:line="240" w:lineRule="auto"/>
              <w:rPr>
                <w:sz w:val="20"/>
                <w:szCs w:val="20"/>
              </w:rPr>
            </w:pPr>
          </w:p>
          <w:p w:rsidR="007A06BD" w:rsidRPr="007A06BD" w:rsidRDefault="007A06BD" w:rsidP="007A06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</w:tcPr>
          <w:p w:rsidR="007A06BD" w:rsidRDefault="007A06BD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$17 029 </w:t>
            </w:r>
          </w:p>
          <w:p w:rsidR="00FF64C6" w:rsidRP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±6 388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A06BD" w:rsidRDefault="007A06BD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$17 345 </w:t>
            </w:r>
          </w:p>
          <w:p w:rsidR="00FF64C6" w:rsidRP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±10 135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7A06BD" w:rsidRDefault="007A06BD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$472  </w:t>
            </w:r>
          </w:p>
          <w:p w:rsidR="00FF64C6" w:rsidRP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±326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A06BD" w:rsidRDefault="007A06BD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$35      </w:t>
            </w:r>
          </w:p>
          <w:p w:rsidR="00FF64C6" w:rsidRP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±79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A06BD" w:rsidRDefault="007A06BD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$34 882 </w:t>
            </w:r>
          </w:p>
          <w:p w:rsidR="00FF64C6" w:rsidRP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±14 931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A06BD" w:rsidRDefault="007A06BD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$8.93 </w:t>
            </w:r>
          </w:p>
          <w:p w:rsidR="00FF64C6" w:rsidRP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±382</w:t>
            </w:r>
          </w:p>
        </w:tc>
      </w:tr>
      <w:tr w:rsidR="00FF64C6" w:rsidRPr="007A06BD" w:rsidTr="007A06BD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F64C6" w:rsidRDefault="00FF64C6" w:rsidP="007A06BD">
            <w:pPr>
              <w:spacing w:after="0" w:line="240" w:lineRule="auto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Mabale</w:t>
            </w:r>
          </w:p>
          <w:p w:rsidR="007A06BD" w:rsidRDefault="007A06BD" w:rsidP="007A06BD">
            <w:pPr>
              <w:spacing w:after="0" w:line="240" w:lineRule="auto"/>
              <w:rPr>
                <w:sz w:val="20"/>
                <w:szCs w:val="20"/>
              </w:rPr>
            </w:pPr>
          </w:p>
          <w:p w:rsidR="007A06BD" w:rsidRDefault="007A06BD" w:rsidP="007A06BD">
            <w:pPr>
              <w:spacing w:after="0" w:line="240" w:lineRule="auto"/>
              <w:rPr>
                <w:sz w:val="20"/>
                <w:szCs w:val="20"/>
              </w:rPr>
            </w:pPr>
          </w:p>
          <w:p w:rsidR="007A06BD" w:rsidRPr="007A06BD" w:rsidRDefault="007A06BD" w:rsidP="007A06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$9 911  </w:t>
            </w:r>
          </w:p>
          <w:p w:rsidR="00FF64C6" w:rsidRP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±3 620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$2 409  </w:t>
            </w:r>
          </w:p>
          <w:p w:rsidR="00FF64C6" w:rsidRP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±2 709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$689  </w:t>
            </w:r>
          </w:p>
          <w:p w:rsidR="00FF64C6" w:rsidRP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 ±466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$44      </w:t>
            </w:r>
          </w:p>
          <w:p w:rsidR="00FF64C6" w:rsidRP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$13 054 </w:t>
            </w:r>
          </w:p>
          <w:p w:rsidR="00FF64C6" w:rsidRP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±4 762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06BD" w:rsidRDefault="007A06BD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$4.34</w:t>
            </w:r>
            <w:r w:rsidR="00FF64C6" w:rsidRPr="007A06BD">
              <w:rPr>
                <w:sz w:val="20"/>
                <w:szCs w:val="20"/>
              </w:rPr>
              <w:t xml:space="preserve"> </w:t>
            </w:r>
          </w:p>
          <w:p w:rsidR="00FF64C6" w:rsidRP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</w:t>
            </w:r>
            <w:r w:rsidR="007A06BD" w:rsidRPr="007A06BD">
              <w:rPr>
                <w:sz w:val="20"/>
                <w:szCs w:val="20"/>
              </w:rPr>
              <w:t>1.58</w:t>
            </w:r>
          </w:p>
        </w:tc>
      </w:tr>
      <w:tr w:rsidR="00FF64C6" w:rsidRPr="007A06BD" w:rsidTr="007A06BD">
        <w:tc>
          <w:tcPr>
            <w:tcW w:w="1630" w:type="dxa"/>
            <w:tcBorders>
              <w:top w:val="nil"/>
              <w:left w:val="nil"/>
              <w:right w:val="nil"/>
            </w:tcBorders>
          </w:tcPr>
          <w:p w:rsidR="007A06BD" w:rsidRDefault="00FF64C6" w:rsidP="007A06BD">
            <w:pPr>
              <w:spacing w:after="0" w:line="240" w:lineRule="auto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Mvuthu</w:t>
            </w:r>
          </w:p>
          <w:p w:rsidR="007A06BD" w:rsidRDefault="007A06BD" w:rsidP="007A06BD">
            <w:pPr>
              <w:spacing w:after="0" w:line="240" w:lineRule="auto"/>
              <w:rPr>
                <w:sz w:val="20"/>
                <w:szCs w:val="20"/>
              </w:rPr>
            </w:pPr>
          </w:p>
          <w:p w:rsidR="007A06BD" w:rsidRPr="007A06BD" w:rsidRDefault="007A06BD" w:rsidP="007A06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:rsid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$22 472 </w:t>
            </w:r>
          </w:p>
          <w:p w:rsidR="00FF64C6" w:rsidRP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±18 671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$8 755  </w:t>
            </w:r>
          </w:p>
          <w:p w:rsidR="00FF64C6" w:rsidRP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±5 557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$185 </w:t>
            </w:r>
            <w:r w:rsidR="007A06BD" w:rsidRPr="007A06BD">
              <w:rPr>
                <w:sz w:val="20"/>
                <w:szCs w:val="20"/>
              </w:rPr>
              <w:t xml:space="preserve"> </w:t>
            </w:r>
          </w:p>
          <w:p w:rsidR="00FF64C6" w:rsidRPr="007A06BD" w:rsidRDefault="00FF64C6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</w:t>
            </w:r>
            <w:r w:rsidR="007A06BD" w:rsidRPr="007A06BD">
              <w:rPr>
                <w:sz w:val="20"/>
                <w:szCs w:val="20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F64C6" w:rsidRPr="007A06BD" w:rsidRDefault="007A06BD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A06BD" w:rsidRDefault="007A06BD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$31 413 </w:t>
            </w:r>
          </w:p>
          <w:p w:rsidR="00FF64C6" w:rsidRPr="007A06BD" w:rsidRDefault="007A06BD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±22 315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A06BD" w:rsidRDefault="007A06BD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 xml:space="preserve">$7.79 </w:t>
            </w:r>
          </w:p>
          <w:p w:rsidR="00FF64C6" w:rsidRPr="007A06BD" w:rsidRDefault="007A06BD" w:rsidP="007A06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06BD">
              <w:rPr>
                <w:sz w:val="20"/>
                <w:szCs w:val="20"/>
              </w:rPr>
              <w:t>±5.53</w:t>
            </w:r>
          </w:p>
        </w:tc>
      </w:tr>
    </w:tbl>
    <w:p w:rsidR="00B44B9D" w:rsidRDefault="00B44B9D" w:rsidP="00A752EE">
      <w:pPr>
        <w:spacing w:line="240" w:lineRule="auto"/>
      </w:pPr>
    </w:p>
    <w:p w:rsidR="00B44B9D" w:rsidRDefault="00B44B9D" w:rsidP="00B44B9D">
      <w:r>
        <w:rPr>
          <w:noProof/>
          <w:lang w:eastAsia="en-GB"/>
        </w:rPr>
        <w:lastRenderedPageBreak/>
        <w:drawing>
          <wp:inline distT="0" distB="0" distL="0" distR="0" wp14:anchorId="5AF0D15A" wp14:editId="639C3FA3">
            <wp:extent cx="3952875" cy="2143125"/>
            <wp:effectExtent l="0" t="0" r="0" b="0"/>
            <wp:docPr id="4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C42372A" wp14:editId="134B3621">
            <wp:extent cx="3752850" cy="2066925"/>
            <wp:effectExtent l="0" t="0" r="0" b="0"/>
            <wp:docPr id="4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7684ACF" wp14:editId="070AB13B">
            <wp:extent cx="3743325" cy="2438400"/>
            <wp:effectExtent l="0" t="0" r="0" b="0"/>
            <wp:docPr id="4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4B9D" w:rsidRDefault="00E24125" w:rsidP="00F67AB1">
      <w:pPr>
        <w:spacing w:line="360" w:lineRule="auto"/>
      </w:pPr>
      <w:r>
        <w:t>Fig.</w:t>
      </w:r>
      <w:r w:rsidR="00B44B9D" w:rsidRPr="00F67AB1">
        <w:t xml:space="preserve"> S1.</w:t>
      </w:r>
      <w:r w:rsidR="00B44B9D">
        <w:t xml:space="preserve"> The age classes of domestic animals killed by predators expressed as a percentage of the total kills made by each predator (number of kills for which age class information available: lion: 1139, hyaena: 791, leopard: 83).</w:t>
      </w:r>
    </w:p>
    <w:p w:rsidR="00B44B9D" w:rsidRDefault="00B44B9D" w:rsidP="00A752EE">
      <w:pPr>
        <w:spacing w:line="240" w:lineRule="auto"/>
      </w:pPr>
    </w:p>
    <w:p w:rsidR="008A107F" w:rsidRPr="007E19E4" w:rsidRDefault="008A107F" w:rsidP="008A107F">
      <w:r>
        <w:rPr>
          <w:noProof/>
          <w:lang w:eastAsia="en-GB"/>
        </w:rPr>
        <w:lastRenderedPageBreak/>
        <w:drawing>
          <wp:inline distT="0" distB="0" distL="0" distR="0" wp14:anchorId="403DE998" wp14:editId="223738CC">
            <wp:extent cx="1916430" cy="2434590"/>
            <wp:effectExtent l="19050" t="0" r="7620" b="0"/>
            <wp:docPr id="30" name="Picture 23" descr="C:\Users\user\Documents\A - Hwange CP4\General R Analyses\prop_night_tsh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cuments\A - Hwange CP4\General R Analyses\prop_night_tsh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8AB603" wp14:editId="53756B01">
            <wp:extent cx="1811020" cy="2469515"/>
            <wp:effectExtent l="19050" t="0" r="0" b="0"/>
            <wp:docPr id="31" name="Picture 22" descr="C:\Users\user\Documents\A - Hwange CP4\General R Analyses\prop_night_mab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cuments\A - Hwange CP4\General R Analyses\prop_night_mab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A96DE01" wp14:editId="68CFA1A1">
            <wp:extent cx="1788160" cy="2458085"/>
            <wp:effectExtent l="19050" t="0" r="2540" b="0"/>
            <wp:docPr id="32" name="Picture 21" descr="C:\Users\user\Documents\A - Hwange CP4\General R Analyses\prop_night_vf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cuments\A - Hwange CP4\General R Analyses\prop_night_vf_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7F" w:rsidRPr="007E19E4" w:rsidRDefault="00E24125" w:rsidP="00F67AB1">
      <w:pPr>
        <w:spacing w:line="360" w:lineRule="auto"/>
      </w:pPr>
      <w:r>
        <w:t>Fig.</w:t>
      </w:r>
      <w:r w:rsidR="00B44B9D">
        <w:t xml:space="preserve"> S2</w:t>
      </w:r>
      <w:r w:rsidR="008A107F" w:rsidRPr="007E19E4">
        <w:t xml:space="preserve">. The proportion of the total number of attacks for each predator and livestock species combination </w:t>
      </w:r>
      <w:r w:rsidR="008A107F">
        <w:t xml:space="preserve">(e.g. lion attacks on cattle) </w:t>
      </w:r>
      <w:r w:rsidR="008A107F" w:rsidRPr="007E19E4">
        <w:t>that occurred during the night (2009 to 2013). The total number of</w:t>
      </w:r>
      <w:r w:rsidR="008A107F">
        <w:t xml:space="preserve"> attacks (day and night summed</w:t>
      </w:r>
      <w:r w:rsidR="008A107F" w:rsidRPr="007E19E4">
        <w:t xml:space="preserve">) for each predator/livestock species combination is shown above the relevant bar. Data for the Tsholotsho, Mabale and Mvuthu </w:t>
      </w:r>
      <w:r w:rsidR="00C906C0">
        <w:t xml:space="preserve">study sited </w:t>
      </w:r>
      <w:r w:rsidR="008A107F" w:rsidRPr="007E19E4">
        <w:t>are shown separately.</w:t>
      </w:r>
      <w:r w:rsidR="008A107F">
        <w:t xml:space="preserve"> Totals do not match totals in Table S1 identically as not all attacks had accurate information on the time of day of the incident. </w:t>
      </w:r>
    </w:p>
    <w:p w:rsidR="00AA53DF" w:rsidRDefault="00AA53DF"/>
    <w:p w:rsidR="00125DBA" w:rsidRDefault="00125DBA"/>
    <w:p w:rsidR="00F67AB1" w:rsidRDefault="00F67AB1">
      <w:pPr>
        <w:spacing w:after="160" w:line="259" w:lineRule="auto"/>
        <w:rPr>
          <w:noProof/>
          <w:lang w:eastAsia="en-ZA"/>
        </w:rPr>
      </w:pPr>
      <w:r>
        <w:rPr>
          <w:noProof/>
          <w:lang w:eastAsia="en-ZA"/>
        </w:rPr>
        <w:br w:type="page"/>
      </w:r>
    </w:p>
    <w:p w:rsidR="00F97E26" w:rsidRDefault="00F97E26" w:rsidP="00F97E26">
      <w:pPr>
        <w:rPr>
          <w:noProof/>
          <w:lang w:eastAsia="en-ZA"/>
        </w:rPr>
      </w:pPr>
    </w:p>
    <w:p w:rsidR="00F97E26" w:rsidRDefault="00F97E26" w:rsidP="00F97E26">
      <w:pPr>
        <w:rPr>
          <w:noProof/>
          <w:lang w:eastAsia="en-ZA"/>
        </w:rPr>
      </w:pPr>
      <w:r>
        <w:rPr>
          <w:noProof/>
          <w:lang w:eastAsia="en-GB"/>
        </w:rPr>
        <w:drawing>
          <wp:inline distT="0" distB="0" distL="0" distR="0" wp14:anchorId="2A4DA598" wp14:editId="7FD68ADC">
            <wp:extent cx="1916430" cy="2236470"/>
            <wp:effectExtent l="19050" t="0" r="7620" b="0"/>
            <wp:docPr id="33" name="Picture 24" descr="C:\Users\user\Documents\A - Hwange CP4\General R Analyses\prop_boma_tsh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cuments\A - Hwange CP4\General R Analyses\prop_boma_tsho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9A2789" wp14:editId="08EB9827">
            <wp:extent cx="1671320" cy="2230755"/>
            <wp:effectExtent l="19050" t="0" r="5080" b="0"/>
            <wp:docPr id="34" name="Picture 26" descr="C:\Users\user\Documents\A - Hwange CP4\General R Analyses\prop_boma_mab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cuments\A - Hwange CP4\General R Analyses\prop_boma_mab_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38BA6D" wp14:editId="0854D286">
            <wp:extent cx="1671320" cy="2230755"/>
            <wp:effectExtent l="19050" t="0" r="5080" b="0"/>
            <wp:docPr id="35" name="Picture 25" descr="C:\Users\user\Documents\A - Hwange CP4\General R Analyses\prop_boma_vf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cuments\A - Hwange CP4\General R Analyses\prop_boma_vf_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26" w:rsidRPr="007E19E4" w:rsidRDefault="00E24125" w:rsidP="00F67AB1">
      <w:pPr>
        <w:spacing w:line="360" w:lineRule="auto"/>
      </w:pPr>
      <w:r>
        <w:t>Fig.</w:t>
      </w:r>
      <w:r w:rsidR="00F97E26" w:rsidRPr="00F67AB1">
        <w:t xml:space="preserve"> </w:t>
      </w:r>
      <w:r w:rsidR="0082759E" w:rsidRPr="00F67AB1">
        <w:t>S</w:t>
      </w:r>
      <w:r w:rsidR="00F67AB1" w:rsidRPr="00F67AB1">
        <w:t>3</w:t>
      </w:r>
      <w:r w:rsidR="00F97E26" w:rsidRPr="00F67AB1">
        <w:t>. The</w:t>
      </w:r>
      <w:r w:rsidR="00F97E26" w:rsidRPr="007E19E4">
        <w:t xml:space="preserve"> proportion of the total number of attacks for each predator and livestock species combination </w:t>
      </w:r>
      <w:r w:rsidR="00F97E26">
        <w:t xml:space="preserve">(e.g. lion attacks on cattle) that occurred outside </w:t>
      </w:r>
      <w:r w:rsidR="00F97E26" w:rsidRPr="007E19E4">
        <w:t>the</w:t>
      </w:r>
      <w:r w:rsidR="00F97E26">
        <w:t xml:space="preserve"> protection of a boma </w:t>
      </w:r>
      <w:r w:rsidR="00F97E26" w:rsidRPr="007E19E4">
        <w:t xml:space="preserve">(2009 to 2013). The total </w:t>
      </w:r>
      <w:r w:rsidR="00F97E26">
        <w:t>number of attacks (inside and outside boma summed</w:t>
      </w:r>
      <w:r w:rsidR="00F97E26" w:rsidRPr="007E19E4">
        <w:t xml:space="preserve">) for each predator/livestock species combination is shown above the relevant bar. Data for the Tsholotsho, Mabale and Mvuthu </w:t>
      </w:r>
      <w:r w:rsidR="00C906C0">
        <w:t xml:space="preserve">study sites </w:t>
      </w:r>
      <w:r w:rsidR="00F97E26" w:rsidRPr="007E19E4">
        <w:t>are shown separately.</w:t>
      </w:r>
      <w:r w:rsidR="00F97E26">
        <w:t xml:space="preserve"> Totals do not match totals in Table S1 </w:t>
      </w:r>
      <w:r w:rsidR="009E093A">
        <w:t xml:space="preserve">because </w:t>
      </w:r>
      <w:r w:rsidR="00F97E26">
        <w:t xml:space="preserve">not all attacks had accurate information on whether or not the incident occurred inside a boma. </w:t>
      </w:r>
    </w:p>
    <w:p w:rsidR="00125DBA" w:rsidRDefault="00125DBA"/>
    <w:sectPr w:rsidR="00125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EE"/>
    <w:rsid w:val="00125DBA"/>
    <w:rsid w:val="00155416"/>
    <w:rsid w:val="00175D66"/>
    <w:rsid w:val="001F0006"/>
    <w:rsid w:val="00340215"/>
    <w:rsid w:val="00391A9D"/>
    <w:rsid w:val="004017F8"/>
    <w:rsid w:val="00485704"/>
    <w:rsid w:val="00620D2C"/>
    <w:rsid w:val="00704B8A"/>
    <w:rsid w:val="00752519"/>
    <w:rsid w:val="007A06BD"/>
    <w:rsid w:val="0082759E"/>
    <w:rsid w:val="008A107F"/>
    <w:rsid w:val="009150F4"/>
    <w:rsid w:val="0093067C"/>
    <w:rsid w:val="009433F4"/>
    <w:rsid w:val="00964371"/>
    <w:rsid w:val="009E093A"/>
    <w:rsid w:val="00A13348"/>
    <w:rsid w:val="00A34E3B"/>
    <w:rsid w:val="00A752EE"/>
    <w:rsid w:val="00AA53DF"/>
    <w:rsid w:val="00AC7459"/>
    <w:rsid w:val="00B44B9D"/>
    <w:rsid w:val="00BF00F4"/>
    <w:rsid w:val="00C906C0"/>
    <w:rsid w:val="00D72292"/>
    <w:rsid w:val="00E24125"/>
    <w:rsid w:val="00EA1674"/>
    <w:rsid w:val="00F67AB1"/>
    <w:rsid w:val="00F97E26"/>
    <w:rsid w:val="00FA1C85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EE"/>
    <w:pPr>
      <w:spacing w:after="20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C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EE"/>
    <w:pPr>
      <w:spacing w:after="20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4.jpeg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veridge\Documents\Back_up_230812\Documents\Lion%20Project\lion%20papers%20in%20prep\Conflict_patterns\Conflict%20paper%202%20-%20general%20patterns\Ages%20of%20kill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veridge\Documents\Back_up_230812\Documents\Lion%20Project\lion%20papers%20in%20prep\Conflict_patterns\Conflict%20paper%202%20-%20general%20patterns\Ages%20of%20kill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veridge\Documents\Back_up_230812\Documents\Lion%20Project\lion%20papers%20in%20prep\Conflict_patterns\Conflict%20paper%202%20-%20general%20patterns\Ages%20of%20kill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>
                <a:latin typeface="Times New Roman" pitchFamily="18" charset="0"/>
              </a:rPr>
              <a:t>Lion</a:t>
            </a:r>
          </a:p>
        </c:rich>
      </c:tx>
      <c:layout>
        <c:manualLayout>
          <c:xMode val="edge"/>
          <c:yMode val="edge"/>
          <c:x val="0.40680314960629921"/>
          <c:y val="0.10186573344998541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Sheet1!$P$5</c:f>
              <c:strCache>
                <c:ptCount val="1"/>
                <c:pt idx="0">
                  <c:v>Donkeys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Sheet1!$Q$4:$S$4</c:f>
              <c:strCache>
                <c:ptCount val="3"/>
                <c:pt idx="0">
                  <c:v>AD</c:v>
                </c:pt>
                <c:pt idx="1">
                  <c:v>SA</c:v>
                </c:pt>
                <c:pt idx="2">
                  <c:v>JUV</c:v>
                </c:pt>
              </c:strCache>
            </c:strRef>
          </c:cat>
          <c:val>
            <c:numRef>
              <c:f>Sheet1!$Q$5:$S$5</c:f>
              <c:numCache>
                <c:formatCode>General</c:formatCode>
                <c:ptCount val="3"/>
                <c:pt idx="0">
                  <c:v>15.539947322212459</c:v>
                </c:pt>
                <c:pt idx="1">
                  <c:v>1.8437225636523269</c:v>
                </c:pt>
                <c:pt idx="2">
                  <c:v>1.4925373134328359</c:v>
                </c:pt>
              </c:numCache>
            </c:numRef>
          </c:val>
        </c:ser>
        <c:ser>
          <c:idx val="1"/>
          <c:order val="1"/>
          <c:tx>
            <c:strRef>
              <c:f>Sheet1!$P$6</c:f>
              <c:strCache>
                <c:ptCount val="1"/>
                <c:pt idx="0">
                  <c:v>Cattle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Sheet1!$Q$4:$S$4</c:f>
              <c:strCache>
                <c:ptCount val="3"/>
                <c:pt idx="0">
                  <c:v>AD</c:v>
                </c:pt>
                <c:pt idx="1">
                  <c:v>SA</c:v>
                </c:pt>
                <c:pt idx="2">
                  <c:v>JUV</c:v>
                </c:pt>
              </c:strCache>
            </c:strRef>
          </c:cat>
          <c:val>
            <c:numRef>
              <c:f>Sheet1!$Q$6:$S$6</c:f>
              <c:numCache>
                <c:formatCode>General</c:formatCode>
                <c:ptCount val="3"/>
                <c:pt idx="0">
                  <c:v>42.581211589113053</c:v>
                </c:pt>
                <c:pt idx="1">
                  <c:v>10.44776119402985</c:v>
                </c:pt>
                <c:pt idx="2">
                  <c:v>7.1992976294995614</c:v>
                </c:pt>
              </c:numCache>
            </c:numRef>
          </c:val>
        </c:ser>
        <c:ser>
          <c:idx val="2"/>
          <c:order val="2"/>
          <c:tx>
            <c:strRef>
              <c:f>Sheet1!$P$7</c:f>
              <c:strCache>
                <c:ptCount val="1"/>
                <c:pt idx="0">
                  <c:v>Goats</c:v>
                </c:pt>
              </c:strCache>
            </c:strRef>
          </c:tx>
          <c:spPr>
            <a:solidFill>
              <a:schemeClr val="bg1"/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Sheet1!$Q$4:$S$4</c:f>
              <c:strCache>
                <c:ptCount val="3"/>
                <c:pt idx="0">
                  <c:v>AD</c:v>
                </c:pt>
                <c:pt idx="1">
                  <c:v>SA</c:v>
                </c:pt>
                <c:pt idx="2">
                  <c:v>JUV</c:v>
                </c:pt>
              </c:strCache>
            </c:strRef>
          </c:cat>
          <c:val>
            <c:numRef>
              <c:f>Sheet1!$Q$7:$S$7</c:f>
              <c:numCache>
                <c:formatCode>General</c:formatCode>
                <c:ptCount val="3"/>
                <c:pt idx="0">
                  <c:v>10.974539069359119</c:v>
                </c:pt>
                <c:pt idx="1">
                  <c:v>4.2142230026339034</c:v>
                </c:pt>
                <c:pt idx="2">
                  <c:v>2.1071115013169619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88256"/>
        <c:axId val="40289792"/>
      </c:barChart>
      <c:catAx>
        <c:axId val="40288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crossAx val="40289792"/>
        <c:crosses val="autoZero"/>
        <c:auto val="1"/>
        <c:lblAlgn val="ctr"/>
        <c:lblOffset val="100"/>
        <c:noMultiLvlLbl val="0"/>
      </c:catAx>
      <c:valAx>
        <c:axId val="402897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aseline="0">
                    <a:latin typeface="Times New Roman" pitchFamily="18" charset="0"/>
                  </a:defRPr>
                </a:pPr>
                <a:r>
                  <a:rPr lang="en-US" baseline="0">
                    <a:latin typeface="Times New Roman" pitchFamily="18" charset="0"/>
                  </a:rPr>
                  <a:t>% Kills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02882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en-US" sz="1200" baseline="0">
                <a:latin typeface="Times New Roman" pitchFamily="18" charset="0"/>
              </a:rPr>
              <a:t>Hyaena</a:t>
            </a:r>
          </a:p>
        </c:rich>
      </c:tx>
      <c:layout>
        <c:manualLayout>
          <c:xMode val="edge"/>
          <c:yMode val="edge"/>
          <c:x val="0.42329109876493864"/>
          <c:y val="8.73362445414847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6155074365704"/>
          <c:y val="0.156956109652961"/>
          <c:w val="0.69432414698162703"/>
          <c:h val="0.79164333624963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Sheet1!$P$15</c:f>
              <c:strCache>
                <c:ptCount val="1"/>
                <c:pt idx="0">
                  <c:v>Donkeys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Sheet1!$Q$14:$S$14</c:f>
              <c:strCache>
                <c:ptCount val="3"/>
                <c:pt idx="0">
                  <c:v>AD</c:v>
                </c:pt>
                <c:pt idx="1">
                  <c:v>SA</c:v>
                </c:pt>
                <c:pt idx="2">
                  <c:v>JUV</c:v>
                </c:pt>
              </c:strCache>
            </c:strRef>
          </c:cat>
          <c:val>
            <c:numRef>
              <c:f>Sheet1!$Q$15:$S$15</c:f>
              <c:numCache>
                <c:formatCode>General</c:formatCode>
                <c:ptCount val="3"/>
                <c:pt idx="0">
                  <c:v>33.122629582806567</c:v>
                </c:pt>
                <c:pt idx="1">
                  <c:v>4.1719342604298264</c:v>
                </c:pt>
                <c:pt idx="2">
                  <c:v>2.907711757269289</c:v>
                </c:pt>
              </c:numCache>
            </c:numRef>
          </c:val>
        </c:ser>
        <c:ser>
          <c:idx val="1"/>
          <c:order val="1"/>
          <c:tx>
            <c:strRef>
              <c:f>Sheet1!$P$16</c:f>
              <c:strCache>
                <c:ptCount val="1"/>
                <c:pt idx="0">
                  <c:v>Cattle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Sheet1!$Q$14:$S$14</c:f>
              <c:strCache>
                <c:ptCount val="3"/>
                <c:pt idx="0">
                  <c:v>AD</c:v>
                </c:pt>
                <c:pt idx="1">
                  <c:v>SA</c:v>
                </c:pt>
                <c:pt idx="2">
                  <c:v>JUV</c:v>
                </c:pt>
              </c:strCache>
            </c:strRef>
          </c:cat>
          <c:val>
            <c:numRef>
              <c:f>Sheet1!$Q$16:$S$16</c:f>
              <c:numCache>
                <c:formatCode>General</c:formatCode>
                <c:ptCount val="3"/>
                <c:pt idx="0">
                  <c:v>26.548672566371579</c:v>
                </c:pt>
                <c:pt idx="1">
                  <c:v>9.3552465233881748</c:v>
                </c:pt>
                <c:pt idx="2">
                  <c:v>4.6776232616940581</c:v>
                </c:pt>
              </c:numCache>
            </c:numRef>
          </c:val>
        </c:ser>
        <c:ser>
          <c:idx val="2"/>
          <c:order val="2"/>
          <c:tx>
            <c:strRef>
              <c:f>Sheet1!$P$17</c:f>
              <c:strCache>
                <c:ptCount val="1"/>
                <c:pt idx="0">
                  <c:v>Goats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Sheet1!$Q$14:$S$14</c:f>
              <c:strCache>
                <c:ptCount val="3"/>
                <c:pt idx="0">
                  <c:v>AD</c:v>
                </c:pt>
                <c:pt idx="1">
                  <c:v>SA</c:v>
                </c:pt>
                <c:pt idx="2">
                  <c:v>JUV</c:v>
                </c:pt>
              </c:strCache>
            </c:strRef>
          </c:cat>
          <c:val>
            <c:numRef>
              <c:f>Sheet1!$Q$17:$S$17</c:f>
              <c:numCache>
                <c:formatCode>General</c:formatCode>
                <c:ptCount val="3"/>
                <c:pt idx="0">
                  <c:v>11.88369152970928</c:v>
                </c:pt>
                <c:pt idx="1">
                  <c:v>1.011378002528444</c:v>
                </c:pt>
                <c:pt idx="2">
                  <c:v>4.6776232616940581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219520"/>
        <c:axId val="138221056"/>
      </c:barChart>
      <c:catAx>
        <c:axId val="138219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one"/>
        <c:crossAx val="138221056"/>
        <c:crosses val="autoZero"/>
        <c:auto val="1"/>
        <c:lblAlgn val="ctr"/>
        <c:lblOffset val="100"/>
        <c:noMultiLvlLbl val="0"/>
      </c:catAx>
      <c:valAx>
        <c:axId val="1382210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aseline="0">
                    <a:latin typeface="Times New Roman" pitchFamily="18" charset="0"/>
                  </a:defRPr>
                </a:pPr>
                <a:r>
                  <a:rPr lang="en-US" baseline="0">
                    <a:latin typeface="Times New Roman" pitchFamily="18" charset="0"/>
                  </a:rPr>
                  <a:t>% Kills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8219520"/>
        <c:crosses val="autoZero"/>
        <c:crossBetween val="between"/>
      </c:valAx>
      <c:spPr>
        <a:ln>
          <a:noFill/>
        </a:ln>
      </c:spPr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aseline="0">
                <a:latin typeface="Times New Roman" pitchFamily="18" charset="0"/>
              </a:rPr>
              <a:t>Leopard</a:t>
            </a:r>
          </a:p>
        </c:rich>
      </c:tx>
      <c:layout>
        <c:manualLayout>
          <c:xMode val="edge"/>
          <c:yMode val="edge"/>
          <c:x val="0.41517367580960779"/>
          <c:y val="7.814407814407814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3285214348199"/>
          <c:y val="0.13089775940169601"/>
          <c:w val="0.69154636920384904"/>
          <c:h val="0.65461709178244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Sheet1!$P$24</c:f>
              <c:strCache>
                <c:ptCount val="1"/>
                <c:pt idx="0">
                  <c:v>Donkeys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Sheet1!$Q$23:$S$23</c:f>
              <c:strCache>
                <c:ptCount val="3"/>
                <c:pt idx="0">
                  <c:v>Adult</c:v>
                </c:pt>
                <c:pt idx="1">
                  <c:v>Subadult</c:v>
                </c:pt>
                <c:pt idx="2">
                  <c:v>Juvenile</c:v>
                </c:pt>
              </c:strCache>
            </c:strRef>
          </c:cat>
          <c:val>
            <c:numRef>
              <c:f>Sheet1!$Q$24:$S$24</c:f>
              <c:numCache>
                <c:formatCode>General</c:formatCode>
                <c:ptCount val="3"/>
                <c:pt idx="0">
                  <c:v>2.4096385542168681</c:v>
                </c:pt>
                <c:pt idx="1">
                  <c:v>0</c:v>
                </c:pt>
                <c:pt idx="2">
                  <c:v>1.204819277108429</c:v>
                </c:pt>
              </c:numCache>
            </c:numRef>
          </c:val>
        </c:ser>
        <c:ser>
          <c:idx val="1"/>
          <c:order val="1"/>
          <c:tx>
            <c:strRef>
              <c:f>Sheet1!$P$25</c:f>
              <c:strCache>
                <c:ptCount val="1"/>
                <c:pt idx="0">
                  <c:v>Cattle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Sheet1!$Q$23:$S$23</c:f>
              <c:strCache>
                <c:ptCount val="3"/>
                <c:pt idx="0">
                  <c:v>Adult</c:v>
                </c:pt>
                <c:pt idx="1">
                  <c:v>Subadult</c:v>
                </c:pt>
                <c:pt idx="2">
                  <c:v>Juvenile</c:v>
                </c:pt>
              </c:strCache>
            </c:strRef>
          </c:cat>
          <c:val>
            <c:numRef>
              <c:f>Sheet1!$Q$25:$S$25</c:f>
              <c:numCache>
                <c:formatCode>General</c:formatCode>
                <c:ptCount val="3"/>
                <c:pt idx="0">
                  <c:v>2.4096385542168681</c:v>
                </c:pt>
                <c:pt idx="1">
                  <c:v>15.662650602409681</c:v>
                </c:pt>
                <c:pt idx="2">
                  <c:v>18.07228915662651</c:v>
                </c:pt>
              </c:numCache>
            </c:numRef>
          </c:val>
        </c:ser>
        <c:ser>
          <c:idx val="2"/>
          <c:order val="2"/>
          <c:tx>
            <c:strRef>
              <c:f>Sheet1!$P$26</c:f>
              <c:strCache>
                <c:ptCount val="1"/>
                <c:pt idx="0">
                  <c:v>Goats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Sheet1!$Q$23:$S$23</c:f>
              <c:strCache>
                <c:ptCount val="3"/>
                <c:pt idx="0">
                  <c:v>Adult</c:v>
                </c:pt>
                <c:pt idx="1">
                  <c:v>Subadult</c:v>
                </c:pt>
                <c:pt idx="2">
                  <c:v>Juvenile</c:v>
                </c:pt>
              </c:strCache>
            </c:strRef>
          </c:cat>
          <c:val>
            <c:numRef>
              <c:f>Sheet1!$Q$26:$S$26</c:f>
              <c:numCache>
                <c:formatCode>General</c:formatCode>
                <c:ptCount val="3"/>
                <c:pt idx="0">
                  <c:v>43.3734939759035</c:v>
                </c:pt>
                <c:pt idx="1">
                  <c:v>9.6385542168674707</c:v>
                </c:pt>
                <c:pt idx="2">
                  <c:v>2.4096385542168681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239360"/>
        <c:axId val="138253824"/>
      </c:barChart>
      <c:catAx>
        <c:axId val="138239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r>
                  <a:rPr lang="en-US" sz="1200" baseline="0">
                    <a:latin typeface="Times New Roman" pitchFamily="18" charset="0"/>
                  </a:rPr>
                  <a:t>Age class animal killed</a:t>
                </a:r>
              </a:p>
            </c:rich>
          </c:tx>
          <c:layout>
            <c:manualLayout>
              <c:xMode val="edge"/>
              <c:yMode val="edge"/>
              <c:x val="0.30451617211970639"/>
              <c:y val="0.8976835587859209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en-US"/>
          </a:p>
        </c:txPr>
        <c:crossAx val="138253824"/>
        <c:crosses val="autoZero"/>
        <c:auto val="1"/>
        <c:lblAlgn val="ctr"/>
        <c:lblOffset val="100"/>
        <c:noMultiLvlLbl val="0"/>
      </c:catAx>
      <c:valAx>
        <c:axId val="1382538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aseline="0">
                    <a:latin typeface="Times New Roman" pitchFamily="18" charset="0"/>
                  </a:defRPr>
                </a:pPr>
                <a:r>
                  <a:rPr lang="en-US" baseline="0">
                    <a:latin typeface="Times New Roman" pitchFamily="18" charset="0"/>
                  </a:rPr>
                  <a:t>% Kills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82393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Zoology, University of Oxford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Loveridge</dc:creator>
  <cp:lastModifiedBy>Timothy Kuiper</cp:lastModifiedBy>
  <cp:revision>8</cp:revision>
  <cp:lastPrinted>2016-08-01T11:29:00Z</cp:lastPrinted>
  <dcterms:created xsi:type="dcterms:W3CDTF">2016-11-21T06:30:00Z</dcterms:created>
  <dcterms:modified xsi:type="dcterms:W3CDTF">2016-11-29T11:22:00Z</dcterms:modified>
</cp:coreProperties>
</file>