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A10A" w14:textId="2A0937F2" w:rsidR="007B5392" w:rsidRDefault="007B5392" w:rsidP="007B5392">
      <w:pPr>
        <w:spacing w:line="480" w:lineRule="auto"/>
        <w:rPr>
          <w:rFonts w:ascii="Times New Roman" w:hAnsi="Times New Roman" w:cs="Times New Roman"/>
          <w:b/>
        </w:rPr>
      </w:pPr>
      <w:r>
        <w:rPr>
          <w:rFonts w:ascii="Times New Roman" w:hAnsi="Times New Roman" w:cs="Times New Roman"/>
          <w:b/>
        </w:rPr>
        <w:t>Methods</w:t>
      </w:r>
    </w:p>
    <w:p w14:paraId="74B6F606" w14:textId="1F3CE679" w:rsidR="007B5392" w:rsidRPr="007B5392" w:rsidRDefault="007B5392" w:rsidP="007B5392">
      <w:pPr>
        <w:spacing w:line="480" w:lineRule="auto"/>
        <w:rPr>
          <w:rFonts w:ascii="Times New Roman" w:hAnsi="Times New Roman" w:cs="Times New Roman"/>
          <w:i/>
        </w:rPr>
      </w:pPr>
      <w:r>
        <w:rPr>
          <w:rFonts w:ascii="Times New Roman" w:hAnsi="Times New Roman" w:cs="Times New Roman"/>
          <w:i/>
        </w:rPr>
        <w:t>Specifications for the NL cod pot</w:t>
      </w:r>
    </w:p>
    <w:p w14:paraId="6FF98C09" w14:textId="1360884D" w:rsidR="00690699" w:rsidRDefault="00690699" w:rsidP="007B5392">
      <w:pPr>
        <w:spacing w:line="480" w:lineRule="auto"/>
        <w:ind w:firstLine="720"/>
        <w:rPr>
          <w:rFonts w:ascii="Times New Roman" w:hAnsi="Times New Roman" w:cs="Times New Roman"/>
        </w:rPr>
      </w:pPr>
      <w:r>
        <w:rPr>
          <w:rFonts w:ascii="Times New Roman" w:hAnsi="Times New Roman" w:cs="Times New Roman"/>
        </w:rPr>
        <w:t>The NL pot is large (2 m x 2 m x 1 m) and comprises a frame built of round reinforcing steel, covered by polyethylene mesh (100 mm x 3 mm;</w:t>
      </w:r>
      <w:r>
        <w:rPr>
          <w:rFonts w:ascii="Times New Roman" w:hAnsi="Times New Roman" w:cs="Times New Roman"/>
          <w:noProof/>
        </w:rPr>
        <w:t xml:space="preserve"> </w:t>
      </w:r>
      <w:r>
        <w:rPr>
          <w:rFonts w:ascii="Times New Roman" w:hAnsi="Times New Roman" w:cs="Times New Roman"/>
          <w:noProof/>
        </w:rPr>
        <w:fldChar w:fldCharType="begin" w:fldLock="1"/>
      </w:r>
      <w:r>
        <w:rPr>
          <w:rFonts w:ascii="Times New Roman" w:hAnsi="Times New Roman" w:cs="Times New Roman"/>
          <w:noProof/>
        </w:rPr>
        <w:instrText>ADDIN CSL_CITATION { "citationItems" : [ { "id" : "ITEM-1", "itemData" : { "author" : [ { "dropping-particle" : "", "family" : "Walsh", "given" : "Philip J", "non-dropping-particle" : "", "parse-names" : false, "suffix" : "" }, { "dropping-particle" : "", "family" : "Hiscock", "given" : "Wade", "non-dropping-particle" : "", "parse-names" : false, "suffix" : "" } ], "id" : "ITEM-1", "issued" : { "date-parts" : [ [ "2005" ] ] }, "number-of-pages" : "1-30", "title" : "Fishing For Atlantic Cod (Gadus morhua) Using Experimental Baited Pots", "type" : "report" }, "uris" : [ "http://www.mendeley.com/documents/?uuid=0e952dc8-fd3e-4bb9-b4fc-748e63a37afb" ] } ], "mendeley" : { "formattedCitation" : "(Walsh &amp; Hiscock, 2005)", "manualFormatting" : "Walsh &amp; Hiscock, 2005", "plainTextFormattedCitation" : "(Walsh &amp; Hiscock, 2005)", "previouslyFormattedCitation" : "(Walsh &amp; Hiscock, 2005)" }, "properties" : { "noteIndex" : 0 }, "schema" : "https://github.com/citation-style-language/schema/raw/master/csl-citation.json" }</w:instrText>
      </w:r>
      <w:r>
        <w:rPr>
          <w:rFonts w:ascii="Times New Roman" w:hAnsi="Times New Roman" w:cs="Times New Roman"/>
          <w:noProof/>
        </w:rPr>
        <w:fldChar w:fldCharType="separate"/>
      </w:r>
      <w:r w:rsidRPr="003B20F5">
        <w:rPr>
          <w:rFonts w:ascii="Times New Roman" w:hAnsi="Times New Roman" w:cs="Times New Roman"/>
          <w:noProof/>
        </w:rPr>
        <w:t>Walsh &amp; Hiscock, 2005</w:t>
      </w:r>
      <w:r>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rPr>
        <w:t>Supplemental Figure S1). The NL pot has two offset entrance funnels, typically constructed with white nylon mesh. The interior end of these entrance funnels contains a metal retention device known as a trigger, which uses long metal finger-like projections to allow one-way movement into the pot, and to prevent escape. At the top of the pot, there is a large expandable mesh roof, known as a cod-end, which is supported by floats that extend upward during the pot’s deployment.</w:t>
      </w:r>
    </w:p>
    <w:p w14:paraId="0ABA71BA" w14:textId="58BCE469" w:rsidR="001D098D" w:rsidRDefault="001D098D" w:rsidP="007B5392">
      <w:pPr>
        <w:spacing w:line="480" w:lineRule="auto"/>
        <w:ind w:firstLine="720"/>
        <w:rPr>
          <w:rFonts w:ascii="Times New Roman" w:hAnsi="Times New Roman" w:cs="Times New Roman"/>
        </w:rPr>
      </w:pPr>
      <w:r>
        <w:rPr>
          <w:rFonts w:ascii="Times New Roman" w:hAnsi="Times New Roman" w:cs="Times New Roman"/>
        </w:rPr>
        <w:t>We constructed a large aluminum camera frame for each model of pot (Figure 1B). Both frames were rectangular prism-shaped, and were constructed of aluminum channels. For the NL pot, the frame dimensions were 2.44 m x 1.83 m x 1.22 m, using square aluminum channel beams 3.8 cm (1.5 inches) in width.</w:t>
      </w:r>
    </w:p>
    <w:p w14:paraId="480E2E94" w14:textId="48A393A3" w:rsidR="007B5392" w:rsidRDefault="00690699" w:rsidP="007B5392">
      <w:pPr>
        <w:spacing w:line="480" w:lineRule="auto"/>
        <w:ind w:firstLine="720"/>
        <w:rPr>
          <w:rFonts w:ascii="Times New Roman" w:hAnsi="Times New Roman" w:cs="Times New Roman"/>
        </w:rPr>
      </w:pPr>
      <w:r>
        <w:rPr>
          <w:rFonts w:ascii="Times New Roman" w:hAnsi="Times New Roman" w:cs="Times New Roman"/>
        </w:rPr>
        <w:t xml:space="preserve">It was our intent to perform a full quantitative analysis on videos collected with both pot types. However, the floating cod-end of the NL pot obstructed our camera, and therefore we had to modify the pot to provide a clear field of view. This distorted the geometry of the pot, and drastically reduced catch rates relative to NL pots without cameras. Therefore, we limited our analysis of NL pots to qualitative observations only, noting the behaviours of cod and other species in and around pots. For the NOR pot, we recorded both qualitative and quantitative data. </w:t>
      </w:r>
    </w:p>
    <w:p w14:paraId="0FA512C5" w14:textId="673872D0" w:rsidR="000754E7" w:rsidRPr="000754E7" w:rsidRDefault="000754E7" w:rsidP="000754E7">
      <w:pPr>
        <w:spacing w:line="480" w:lineRule="auto"/>
        <w:rPr>
          <w:rFonts w:ascii="Times New Roman" w:hAnsi="Times New Roman" w:cs="Times New Roman"/>
          <w:b/>
        </w:rPr>
      </w:pPr>
      <w:r>
        <w:rPr>
          <w:rFonts w:ascii="Times New Roman" w:hAnsi="Times New Roman" w:cs="Times New Roman"/>
          <w:b/>
        </w:rPr>
        <w:t>Results:</w:t>
      </w:r>
    </w:p>
    <w:p w14:paraId="364F01C8" w14:textId="371BD378" w:rsidR="007B5392" w:rsidRDefault="007B7326" w:rsidP="00B42F52">
      <w:pPr>
        <w:spacing w:line="480" w:lineRule="auto"/>
        <w:ind w:firstLine="720"/>
        <w:rPr>
          <w:rFonts w:ascii="Times New Roman" w:hAnsi="Times New Roman" w:cs="Times New Roman"/>
        </w:rPr>
      </w:pPr>
      <w:r>
        <w:rPr>
          <w:rFonts w:ascii="Times New Roman" w:hAnsi="Times New Roman" w:cs="Times New Roman"/>
        </w:rPr>
        <w:t>We deployed our video apparatus four times with the NL pot</w:t>
      </w:r>
      <w:r w:rsidR="00CE0EA6">
        <w:rPr>
          <w:rFonts w:ascii="Times New Roman" w:hAnsi="Times New Roman" w:cs="Times New Roman"/>
        </w:rPr>
        <w:t xml:space="preserve"> (Supplementary Table 1)</w:t>
      </w:r>
      <w:r>
        <w:rPr>
          <w:rFonts w:ascii="Times New Roman" w:hAnsi="Times New Roman" w:cs="Times New Roman"/>
        </w:rPr>
        <w:t xml:space="preserve">. From these four deployments, we collected approximately 79 hours of under-water video footage. </w:t>
      </w:r>
      <w:r w:rsidR="007B5392">
        <w:rPr>
          <w:rFonts w:ascii="Times New Roman" w:hAnsi="Times New Roman" w:cs="Times New Roman"/>
        </w:rPr>
        <w:t xml:space="preserve">Video recordings ranged from 5.63 to 30.73 hours for NL pots </w:t>
      </w:r>
      <w:r w:rsidR="007B5392" w:rsidRPr="00816248">
        <w:rPr>
          <w:rFonts w:ascii="Times New Roman" w:hAnsi="Times New Roman" w:cs="Times New Roman"/>
        </w:rPr>
        <w:t xml:space="preserve">(mean ± 1 S.E. = </w:t>
      </w:r>
      <w:r w:rsidR="007B5392">
        <w:rPr>
          <w:rFonts w:ascii="Times New Roman" w:hAnsi="Times New Roman" w:cs="Times New Roman"/>
        </w:rPr>
        <w:t xml:space="preserve">19.66 </w:t>
      </w:r>
      <w:r w:rsidR="007B5392" w:rsidRPr="00816248">
        <w:rPr>
          <w:rFonts w:ascii="Times New Roman" w:hAnsi="Times New Roman" w:cs="Times New Roman"/>
        </w:rPr>
        <w:t>±</w:t>
      </w:r>
      <w:r w:rsidR="007B5392">
        <w:rPr>
          <w:rFonts w:ascii="Times New Roman" w:hAnsi="Times New Roman" w:cs="Times New Roman"/>
        </w:rPr>
        <w:t xml:space="preserve"> </w:t>
      </w:r>
      <w:r w:rsidR="007B5392">
        <w:rPr>
          <w:rFonts w:ascii="Times New Roman" w:hAnsi="Times New Roman" w:cs="Times New Roman"/>
        </w:rPr>
        <w:lastRenderedPageBreak/>
        <w:t>5.51</w:t>
      </w:r>
      <w:r w:rsidR="007B5392" w:rsidRPr="00816248">
        <w:rPr>
          <w:rFonts w:ascii="Times New Roman" w:hAnsi="Times New Roman" w:cs="Times New Roman"/>
        </w:rPr>
        <w:t>)</w:t>
      </w:r>
      <w:r w:rsidR="007B5392">
        <w:rPr>
          <w:rFonts w:ascii="Times New Roman" w:hAnsi="Times New Roman" w:cs="Times New Roman"/>
        </w:rPr>
        <w:t>.</w:t>
      </w:r>
      <w:r w:rsidR="00B42F52">
        <w:rPr>
          <w:rFonts w:ascii="Times New Roman" w:hAnsi="Times New Roman" w:cs="Times New Roman"/>
        </w:rPr>
        <w:t xml:space="preserve"> Of the 79 hours collected, 30.25 hours had sufficient ambient lighting to undergo quantitative analysis, as a result of our decision to not use supplementary illumination, and varying levels of ambient light. We analyzed all 30.25 hours of observable video collected for the NL pot. </w:t>
      </w:r>
    </w:p>
    <w:p w14:paraId="10041DF7" w14:textId="74C9B83C" w:rsidR="007B5392" w:rsidRDefault="007B5392" w:rsidP="00B23317">
      <w:pPr>
        <w:spacing w:line="480" w:lineRule="auto"/>
        <w:ind w:firstLine="720"/>
        <w:rPr>
          <w:rFonts w:ascii="Times New Roman" w:hAnsi="Times New Roman" w:cs="Times New Roman"/>
        </w:rPr>
      </w:pPr>
      <w:r>
        <w:rPr>
          <w:rFonts w:ascii="Times New Roman" w:hAnsi="Times New Roman" w:cs="Times New Roman"/>
        </w:rPr>
        <w:t xml:space="preserve">Although our apparatus made quantitative analysis of the NL pots impossible, we were able to make qualitative observations of its performance. We found that cod typically attempted to enter the NL pot through the mesh at heights similar to the height of the bait bag, inappropriate for successful entry. This could indicate that the bait bag needs to be closer to the bottom of the pot, or at least level with the entrance funnel height. The inappropriate height of the bait bag might not only affect entrance attempts, but could also influence the detection of the bait bag and bait plume, which may at least partially explain why we observed fewer cod approaching the NL pots, because correct bait plume orientation with pot entrance funnels and current direction are important factors influencing a pots catchability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"An international technical workshop to discuss the capture of gadoids (cods, haddock, and saithe/pollock) in baited traps, or pots, was held in Gloucester, Massachusetts, USA on 4 November 2006. Attendance at the workshop included 50 scientists and fishermen actively studying pot capture of gadoids, technical staff and others interested in pots in general from 16 nations and five continents. The workshop determined basic principles for potting gadoid species by examining the current state of research on gadoid capture in pots and assessing the direction of future research for improving catch rates. Conclusions suggested that research into pots was still at an early stage, and that much vital work needed to be done; however, pot volume and orientation of the bait plume and entrances were identified as important factors. Future studies using a combination of laboratory and field techniques to identify critical design details and behavioral factors such as reaction and behavioral thresholds for a variety of stimuli were described.", "author" : [ { "dropping-particle" : "V", "family" : "Pol", "given" : "Michael", "non-dropping-particle" : "", "parse-names" : false, "suffix" : "" }, { "dropping-particle" : "", "family" : "He", "given" : "Pingguo", "non-dropping-particle" : "", "parse-names" : false, "suffix" : "" }, { "dropping-particle" : "", "family" : "Winger", "given" : "P", "non-dropping-particle" : "", "parse-names" : false, "suffix" : "" } ], "container-title" : "Massachusetts Division of Marine Fisheries Technical Report", "id" : "ITEM-1", "issue" : "40", "issued" : { "date-parts" : [ [ "2010" ] ] }, "page" : "107", "title" : "Proceedings of the International Technical Workshop on Gadoid Capture by Pots (GACAPOT)", "type" : "article-journal" }, "uris" : [ "http://www.mendeley.com/documents/?uuid=c99fa07c-4b25-4fef-a731-c274b073af71" ] } ], "mendeley" : { "formattedCitation" : "(Pol, He &amp; Winger, 2010)", "plainTextFormattedCitation" : "(Pol, He &amp; Winger, 2010)", "previouslyFormattedCitation" : "(Pol, He &amp; Winger, 2010)" }, "properties" : { "noteIndex" : 0 }, "schema" : "https://github.com/citation-style-language/schema/raw/master/csl-citation.json" }</w:instrText>
      </w:r>
      <w:r>
        <w:rPr>
          <w:rFonts w:ascii="Times New Roman" w:hAnsi="Times New Roman" w:cs="Times New Roman"/>
        </w:rPr>
        <w:fldChar w:fldCharType="separate"/>
      </w:r>
      <w:r w:rsidRPr="007916F1">
        <w:rPr>
          <w:rFonts w:ascii="Times New Roman" w:hAnsi="Times New Roman" w:cs="Times New Roman"/>
          <w:noProof/>
        </w:rPr>
        <w:t>(Pol, He &amp; Winger, 2010)</w:t>
      </w:r>
      <w:r>
        <w:rPr>
          <w:rFonts w:ascii="Times New Roman" w:hAnsi="Times New Roman" w:cs="Times New Roman"/>
        </w:rPr>
        <w:fldChar w:fldCharType="end"/>
      </w:r>
      <w:r>
        <w:rPr>
          <w:rFonts w:ascii="Times New Roman" w:hAnsi="Times New Roman" w:cs="Times New Roman"/>
        </w:rPr>
        <w:t xml:space="preserve">. We have also observed many cod entry attempts deterred by the presence of the metal triggers, similar to the observations made by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"Olsen", "given" : "Leonore", "non-dropping-particle" : "", "parse-names" : false, "suffix" : "" } ], "id" : "ITEM-1", "issued" : { "date-parts" : [ [ "2014" ] ] }, "number-of-pages" : "1-108", "publisher" : "Norwegian College of Fishery Science", "title" : "Baited pots as an alternative fishing gear in the Norwegian fishery for Atlantic cod (&lt;i&gt;Gadus morhua&lt;/i&gt;)", "type" : "thesis" }, "uris" : [ "http://www.mendeley.com/documents/?uuid=c917f671-18af-432e-98dd-0b76dbb0ca4e" ] } ], "mendeley" : { "formattedCitation" : "(Olsen, 2014)", "manualFormatting" : "Olsen, 2014", "plainTextFormattedCitation" : "(Olsen, 2014)", "previouslyFormattedCitation" : "(Olsen, 2014)" }, "properties" : { "noteIndex" : 0 }, "schema" : "https://github.com/citation-style-language/schema/raw/master/csl-citation.json" }</w:instrText>
      </w:r>
      <w:r>
        <w:rPr>
          <w:rFonts w:ascii="Times New Roman" w:hAnsi="Times New Roman" w:cs="Times New Roman"/>
        </w:rPr>
        <w:fldChar w:fldCharType="separate"/>
      </w:r>
      <w:r w:rsidRPr="007916F1">
        <w:rPr>
          <w:rFonts w:ascii="Times New Roman" w:hAnsi="Times New Roman" w:cs="Times New Roman"/>
          <w:noProof/>
        </w:rPr>
        <w:t>Olsen, 2014</w:t>
      </w:r>
      <w:r>
        <w:rPr>
          <w:rFonts w:ascii="Times New Roman" w:hAnsi="Times New Roman" w:cs="Times New Roman"/>
        </w:rPr>
        <w:fldChar w:fldCharType="end"/>
      </w:r>
      <w:r>
        <w:rPr>
          <w:rFonts w:ascii="Times New Roman" w:hAnsi="Times New Roman" w:cs="Times New Roman"/>
        </w:rPr>
        <w:t>. Individual cod change direction and exit the entrance funnels following contact with the triggers, however small cod individuals pass between the triggers’ rods without contact.</w:t>
      </w:r>
    </w:p>
    <w:p w14:paraId="201D1BBB" w14:textId="77777777" w:rsidR="00C45C12" w:rsidRDefault="00C45C12" w:rsidP="00B23317">
      <w:pPr>
        <w:spacing w:line="480" w:lineRule="auto"/>
        <w:ind w:firstLine="720"/>
        <w:rPr>
          <w:rFonts w:ascii="Times New Roman" w:hAnsi="Times New Roman" w:cs="Times New Roman"/>
        </w:rPr>
      </w:pPr>
    </w:p>
    <w:p w14:paraId="430F8DF2" w14:textId="77777777" w:rsidR="00C45C12" w:rsidRDefault="00C45C12" w:rsidP="00B23317">
      <w:pPr>
        <w:spacing w:line="480" w:lineRule="auto"/>
        <w:ind w:firstLine="720"/>
        <w:rPr>
          <w:rFonts w:ascii="Times New Roman" w:hAnsi="Times New Roman" w:cs="Times New Roman"/>
        </w:rPr>
      </w:pPr>
    </w:p>
    <w:p w14:paraId="03471116" w14:textId="77777777" w:rsidR="00C45C12" w:rsidRDefault="00C45C12" w:rsidP="00B23317">
      <w:pPr>
        <w:spacing w:line="480" w:lineRule="auto"/>
        <w:ind w:firstLine="720"/>
        <w:rPr>
          <w:rFonts w:ascii="Times New Roman" w:hAnsi="Times New Roman" w:cs="Times New Roman"/>
        </w:rPr>
      </w:pPr>
    </w:p>
    <w:p w14:paraId="59FEDD9A" w14:textId="77777777" w:rsidR="00C45C12" w:rsidRDefault="00C45C12" w:rsidP="00B23317">
      <w:pPr>
        <w:spacing w:line="480" w:lineRule="auto"/>
        <w:ind w:firstLine="720"/>
        <w:rPr>
          <w:rFonts w:ascii="Times New Roman" w:hAnsi="Times New Roman" w:cs="Times New Roman"/>
        </w:rPr>
      </w:pPr>
    </w:p>
    <w:p w14:paraId="69597B98" w14:textId="77777777" w:rsidR="00C45C12" w:rsidRDefault="00C45C12" w:rsidP="00B23317">
      <w:pPr>
        <w:spacing w:line="480" w:lineRule="auto"/>
        <w:ind w:firstLine="720"/>
        <w:rPr>
          <w:rFonts w:ascii="Times New Roman" w:hAnsi="Times New Roman" w:cs="Times New Roman"/>
        </w:rPr>
      </w:pPr>
    </w:p>
    <w:p w14:paraId="28372A8A" w14:textId="77777777" w:rsidR="00C45C12" w:rsidRDefault="00C45C12" w:rsidP="009B4DD4">
      <w:pPr>
        <w:spacing w:line="480" w:lineRule="auto"/>
        <w:rPr>
          <w:rFonts w:ascii="Times New Roman" w:hAnsi="Times New Roman" w:cs="Times New Roman"/>
        </w:rPr>
      </w:pPr>
      <w:bookmarkStart w:id="0" w:name="_GoBack"/>
      <w:bookmarkEnd w:id="0"/>
    </w:p>
    <w:p w14:paraId="1DADF1D7" w14:textId="7CD64EEA" w:rsidR="00C45C12" w:rsidRDefault="00235752" w:rsidP="00C45C12">
      <w:pPr>
        <w:spacing w:line="480" w:lineRule="auto"/>
        <w:rPr>
          <w:rFonts w:ascii="Times New Roman" w:hAnsi="Times New Roman" w:cs="Times New Roman"/>
          <w:b/>
        </w:rPr>
      </w:pPr>
      <w:r>
        <w:rPr>
          <w:rFonts w:ascii="Times New Roman" w:hAnsi="Times New Roman" w:cs="Times New Roman"/>
          <w:b/>
        </w:rPr>
        <w:t xml:space="preserve">Supplementary </w:t>
      </w:r>
      <w:r w:rsidR="00C45C12">
        <w:rPr>
          <w:rFonts w:ascii="Times New Roman" w:hAnsi="Times New Roman" w:cs="Times New Roman"/>
          <w:b/>
        </w:rPr>
        <w:t>Tables</w:t>
      </w:r>
    </w:p>
    <w:p w14:paraId="39987BDB" w14:textId="6F245967" w:rsidR="00C45C12" w:rsidRDefault="00235752" w:rsidP="00C45C12">
      <w:pPr>
        <w:spacing w:line="480" w:lineRule="auto"/>
        <w:rPr>
          <w:rFonts w:ascii="Times New Roman" w:hAnsi="Times New Roman" w:cs="Times New Roman"/>
        </w:rPr>
      </w:pPr>
      <w:r>
        <w:rPr>
          <w:rFonts w:ascii="Times New Roman" w:hAnsi="Times New Roman" w:cs="Times New Roman"/>
        </w:rPr>
        <w:t xml:space="preserve">Supplementary </w:t>
      </w:r>
      <w:r w:rsidR="00C45C12" w:rsidRPr="003B69AB">
        <w:rPr>
          <w:rFonts w:ascii="Times New Roman" w:hAnsi="Times New Roman" w:cs="Times New Roman"/>
        </w:rPr>
        <w:t>Table 1</w:t>
      </w:r>
      <w:r w:rsidR="00C45C12" w:rsidRPr="00187A22">
        <w:rPr>
          <w:rFonts w:ascii="Times New Roman" w:hAnsi="Times New Roman" w:cs="Times New Roman"/>
        </w:rPr>
        <w:t>.</w:t>
      </w:r>
      <w:r w:rsidR="00C45C12" w:rsidRPr="0011527C">
        <w:rPr>
          <w:rFonts w:ascii="Times New Roman" w:hAnsi="Times New Roman" w:cs="Times New Roman"/>
        </w:rPr>
        <w:t xml:space="preserve"> Summary of camera </w:t>
      </w:r>
      <w:r w:rsidR="00C45C12">
        <w:rPr>
          <w:rFonts w:ascii="Times New Roman" w:hAnsi="Times New Roman" w:cs="Times New Roman"/>
        </w:rPr>
        <w:t>deployments for NL pots.</w:t>
      </w:r>
    </w:p>
    <w:tbl>
      <w:tblPr>
        <w:tblW w:w="8900" w:type="dxa"/>
        <w:tblLook w:val="04A0" w:firstRow="1" w:lastRow="0" w:firstColumn="1" w:lastColumn="0" w:noHBand="0" w:noVBand="1"/>
      </w:tblPr>
      <w:tblGrid>
        <w:gridCol w:w="1430"/>
        <w:gridCol w:w="1080"/>
        <w:gridCol w:w="1350"/>
        <w:gridCol w:w="1170"/>
        <w:gridCol w:w="1350"/>
        <w:gridCol w:w="1170"/>
        <w:gridCol w:w="1350"/>
      </w:tblGrid>
      <w:tr w:rsidR="00107F69" w:rsidRPr="00215729" w14:paraId="0F4AA528" w14:textId="77777777" w:rsidTr="001555AE">
        <w:trPr>
          <w:trHeight w:val="330"/>
        </w:trPr>
        <w:tc>
          <w:tcPr>
            <w:tcW w:w="1430" w:type="dxa"/>
            <w:tcBorders>
              <w:bottom w:val="single" w:sz="4" w:space="0" w:color="auto"/>
            </w:tcBorders>
            <w:shd w:val="clear" w:color="auto" w:fill="auto"/>
            <w:noWrap/>
            <w:vAlign w:val="center"/>
            <w:hideMark/>
          </w:tcPr>
          <w:p w14:paraId="577F196B"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Deployment number</w:t>
            </w:r>
          </w:p>
        </w:tc>
        <w:tc>
          <w:tcPr>
            <w:tcW w:w="1080" w:type="dxa"/>
            <w:tcBorders>
              <w:bottom w:val="single" w:sz="4" w:space="0" w:color="auto"/>
            </w:tcBorders>
            <w:shd w:val="clear" w:color="auto" w:fill="auto"/>
            <w:noWrap/>
            <w:vAlign w:val="center"/>
            <w:hideMark/>
          </w:tcPr>
          <w:p w14:paraId="41FF14C8"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Pot type</w:t>
            </w:r>
          </w:p>
        </w:tc>
        <w:tc>
          <w:tcPr>
            <w:tcW w:w="1350" w:type="dxa"/>
            <w:tcBorders>
              <w:bottom w:val="single" w:sz="4" w:space="0" w:color="auto"/>
            </w:tcBorders>
            <w:shd w:val="clear" w:color="auto" w:fill="auto"/>
            <w:noWrap/>
            <w:vAlign w:val="center"/>
            <w:hideMark/>
          </w:tcPr>
          <w:p w14:paraId="71CD209C"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Start date</w:t>
            </w:r>
          </w:p>
        </w:tc>
        <w:tc>
          <w:tcPr>
            <w:tcW w:w="1170" w:type="dxa"/>
            <w:tcBorders>
              <w:bottom w:val="single" w:sz="4" w:space="0" w:color="auto"/>
            </w:tcBorders>
            <w:shd w:val="clear" w:color="auto" w:fill="auto"/>
            <w:noWrap/>
            <w:vAlign w:val="center"/>
            <w:hideMark/>
          </w:tcPr>
          <w:p w14:paraId="6568E659"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Start time</w:t>
            </w:r>
          </w:p>
        </w:tc>
        <w:tc>
          <w:tcPr>
            <w:tcW w:w="1350" w:type="dxa"/>
            <w:tcBorders>
              <w:bottom w:val="single" w:sz="4" w:space="0" w:color="auto"/>
            </w:tcBorders>
            <w:shd w:val="clear" w:color="auto" w:fill="auto"/>
            <w:noWrap/>
            <w:vAlign w:val="center"/>
            <w:hideMark/>
          </w:tcPr>
          <w:p w14:paraId="0459D0E8"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End date</w:t>
            </w:r>
          </w:p>
        </w:tc>
        <w:tc>
          <w:tcPr>
            <w:tcW w:w="1170" w:type="dxa"/>
            <w:tcBorders>
              <w:bottom w:val="single" w:sz="4" w:space="0" w:color="auto"/>
            </w:tcBorders>
            <w:shd w:val="clear" w:color="auto" w:fill="auto"/>
            <w:noWrap/>
            <w:vAlign w:val="center"/>
            <w:hideMark/>
          </w:tcPr>
          <w:p w14:paraId="04B00F54"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End time</w:t>
            </w:r>
          </w:p>
        </w:tc>
        <w:tc>
          <w:tcPr>
            <w:tcW w:w="1350" w:type="dxa"/>
            <w:tcBorders>
              <w:bottom w:val="single" w:sz="4" w:space="0" w:color="auto"/>
            </w:tcBorders>
            <w:shd w:val="clear" w:color="auto" w:fill="auto"/>
            <w:noWrap/>
            <w:vAlign w:val="center"/>
            <w:hideMark/>
          </w:tcPr>
          <w:p w14:paraId="7148C215" w14:textId="77777777" w:rsidR="00107F69" w:rsidRPr="00215729" w:rsidRDefault="00107F69" w:rsidP="001555AE">
            <w:pPr>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Observed video time (mins)</w:t>
            </w:r>
          </w:p>
        </w:tc>
      </w:tr>
      <w:tr w:rsidR="00107F69" w:rsidRPr="00215729" w14:paraId="40B23E72" w14:textId="77777777" w:rsidTr="00F86845">
        <w:trPr>
          <w:trHeight w:val="315"/>
        </w:trPr>
        <w:tc>
          <w:tcPr>
            <w:tcW w:w="1430" w:type="dxa"/>
            <w:shd w:val="clear" w:color="auto" w:fill="auto"/>
            <w:noWrap/>
            <w:vAlign w:val="center"/>
            <w:hideMark/>
          </w:tcPr>
          <w:p w14:paraId="3DAE9705" w14:textId="42B35240"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7</w:t>
            </w:r>
          </w:p>
        </w:tc>
        <w:tc>
          <w:tcPr>
            <w:tcW w:w="1080" w:type="dxa"/>
            <w:shd w:val="clear" w:color="auto" w:fill="auto"/>
            <w:noWrap/>
            <w:vAlign w:val="center"/>
            <w:hideMark/>
          </w:tcPr>
          <w:p w14:paraId="6DE46A17" w14:textId="37F3ABC9"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NL</w:t>
            </w:r>
          </w:p>
        </w:tc>
        <w:tc>
          <w:tcPr>
            <w:tcW w:w="1350" w:type="dxa"/>
            <w:shd w:val="clear" w:color="auto" w:fill="auto"/>
            <w:noWrap/>
            <w:vAlign w:val="center"/>
            <w:hideMark/>
          </w:tcPr>
          <w:p w14:paraId="6EC6D4EF" w14:textId="4307A625"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29/08/2015</w:t>
            </w:r>
          </w:p>
        </w:tc>
        <w:tc>
          <w:tcPr>
            <w:tcW w:w="1170" w:type="dxa"/>
            <w:shd w:val="clear" w:color="auto" w:fill="auto"/>
            <w:noWrap/>
            <w:vAlign w:val="center"/>
            <w:hideMark/>
          </w:tcPr>
          <w:p w14:paraId="5CE3DA45" w14:textId="4DEBD077"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12:39:30</w:t>
            </w:r>
          </w:p>
        </w:tc>
        <w:tc>
          <w:tcPr>
            <w:tcW w:w="1350" w:type="dxa"/>
            <w:shd w:val="clear" w:color="auto" w:fill="auto"/>
            <w:noWrap/>
            <w:vAlign w:val="center"/>
            <w:hideMark/>
          </w:tcPr>
          <w:p w14:paraId="2C39763D" w14:textId="785E78CC"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30/08/2015</w:t>
            </w:r>
          </w:p>
        </w:tc>
        <w:tc>
          <w:tcPr>
            <w:tcW w:w="1170" w:type="dxa"/>
            <w:shd w:val="clear" w:color="auto" w:fill="auto"/>
            <w:noWrap/>
            <w:vAlign w:val="center"/>
            <w:hideMark/>
          </w:tcPr>
          <w:p w14:paraId="3379CE97" w14:textId="380CEB74"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14:17:51</w:t>
            </w:r>
          </w:p>
        </w:tc>
        <w:tc>
          <w:tcPr>
            <w:tcW w:w="1350" w:type="dxa"/>
            <w:shd w:val="clear" w:color="auto" w:fill="auto"/>
            <w:noWrap/>
            <w:vAlign w:val="bottom"/>
            <w:hideMark/>
          </w:tcPr>
          <w:p w14:paraId="62F734D2" w14:textId="4E8B6F48" w:rsidR="00107F69" w:rsidRPr="00215729" w:rsidRDefault="00107F69" w:rsidP="001555AE">
            <w:pPr>
              <w:spacing w:line="480" w:lineRule="auto"/>
              <w:jc w:val="right"/>
              <w:rPr>
                <w:rFonts w:ascii="Times New Roman" w:eastAsia="Times New Roman" w:hAnsi="Times New Roman" w:cs="Times New Roman"/>
                <w:color w:val="000000"/>
              </w:rPr>
            </w:pPr>
            <w:r w:rsidRPr="00215729">
              <w:rPr>
                <w:rFonts w:ascii="Times New Roman" w:eastAsia="Times New Roman" w:hAnsi="Times New Roman" w:cs="Times New Roman"/>
                <w:color w:val="000000"/>
              </w:rPr>
              <w:t>795</w:t>
            </w:r>
          </w:p>
        </w:tc>
      </w:tr>
      <w:tr w:rsidR="00107F69" w:rsidRPr="00215729" w14:paraId="516A5508" w14:textId="77777777" w:rsidTr="001555AE">
        <w:trPr>
          <w:trHeight w:val="315"/>
        </w:trPr>
        <w:tc>
          <w:tcPr>
            <w:tcW w:w="1430" w:type="dxa"/>
            <w:shd w:val="clear" w:color="auto" w:fill="auto"/>
            <w:noWrap/>
            <w:vAlign w:val="center"/>
            <w:hideMark/>
          </w:tcPr>
          <w:p w14:paraId="1112734F" w14:textId="6595E1B5"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8</w:t>
            </w:r>
          </w:p>
        </w:tc>
        <w:tc>
          <w:tcPr>
            <w:tcW w:w="1080" w:type="dxa"/>
            <w:shd w:val="clear" w:color="auto" w:fill="auto"/>
            <w:noWrap/>
            <w:vAlign w:val="center"/>
            <w:hideMark/>
          </w:tcPr>
          <w:p w14:paraId="0BDE53A7" w14:textId="33CAEFF7"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NL</w:t>
            </w:r>
          </w:p>
        </w:tc>
        <w:tc>
          <w:tcPr>
            <w:tcW w:w="1350" w:type="dxa"/>
            <w:shd w:val="clear" w:color="auto" w:fill="auto"/>
            <w:noWrap/>
            <w:vAlign w:val="center"/>
            <w:hideMark/>
          </w:tcPr>
          <w:p w14:paraId="6B3BD8C0" w14:textId="2ED9D99A"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30/08/2015</w:t>
            </w:r>
          </w:p>
        </w:tc>
        <w:tc>
          <w:tcPr>
            <w:tcW w:w="1170" w:type="dxa"/>
            <w:shd w:val="clear" w:color="auto" w:fill="auto"/>
            <w:noWrap/>
            <w:vAlign w:val="center"/>
            <w:hideMark/>
          </w:tcPr>
          <w:p w14:paraId="71F72898" w14:textId="51A94A90"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16:32:47</w:t>
            </w:r>
          </w:p>
        </w:tc>
        <w:tc>
          <w:tcPr>
            <w:tcW w:w="1350" w:type="dxa"/>
            <w:shd w:val="clear" w:color="auto" w:fill="auto"/>
            <w:noWrap/>
            <w:vAlign w:val="center"/>
            <w:hideMark/>
          </w:tcPr>
          <w:p w14:paraId="31DD5052" w14:textId="61C94199"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31/08/2015</w:t>
            </w:r>
          </w:p>
        </w:tc>
        <w:tc>
          <w:tcPr>
            <w:tcW w:w="1170" w:type="dxa"/>
            <w:shd w:val="clear" w:color="auto" w:fill="auto"/>
            <w:noWrap/>
            <w:vAlign w:val="center"/>
            <w:hideMark/>
          </w:tcPr>
          <w:p w14:paraId="125F326F" w14:textId="24257833"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9:08:00</w:t>
            </w:r>
          </w:p>
        </w:tc>
        <w:tc>
          <w:tcPr>
            <w:tcW w:w="1350" w:type="dxa"/>
            <w:shd w:val="clear" w:color="auto" w:fill="auto"/>
            <w:noWrap/>
            <w:vAlign w:val="bottom"/>
            <w:hideMark/>
          </w:tcPr>
          <w:p w14:paraId="691E7B3A" w14:textId="0A532A3B" w:rsidR="00107F69" w:rsidRPr="00215729" w:rsidRDefault="00107F69" w:rsidP="001555AE">
            <w:pPr>
              <w:spacing w:line="480" w:lineRule="auto"/>
              <w:jc w:val="right"/>
              <w:rPr>
                <w:rFonts w:ascii="Times New Roman" w:eastAsia="Times New Roman" w:hAnsi="Times New Roman" w:cs="Times New Roman"/>
                <w:color w:val="000000"/>
              </w:rPr>
            </w:pPr>
            <w:r w:rsidRPr="00215729">
              <w:rPr>
                <w:rFonts w:ascii="Times New Roman" w:eastAsia="Times New Roman" w:hAnsi="Times New Roman" w:cs="Times New Roman"/>
                <w:color w:val="000000"/>
              </w:rPr>
              <w:t>109</w:t>
            </w:r>
          </w:p>
        </w:tc>
      </w:tr>
      <w:tr w:rsidR="00107F69" w:rsidRPr="00215729" w14:paraId="5779FDAE" w14:textId="77777777" w:rsidTr="001555AE">
        <w:trPr>
          <w:trHeight w:val="315"/>
        </w:trPr>
        <w:tc>
          <w:tcPr>
            <w:tcW w:w="1430" w:type="dxa"/>
            <w:shd w:val="clear" w:color="auto" w:fill="auto"/>
            <w:noWrap/>
            <w:vAlign w:val="center"/>
            <w:hideMark/>
          </w:tcPr>
          <w:p w14:paraId="774D027F" w14:textId="79B3507F"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9</w:t>
            </w:r>
          </w:p>
        </w:tc>
        <w:tc>
          <w:tcPr>
            <w:tcW w:w="1080" w:type="dxa"/>
            <w:shd w:val="clear" w:color="auto" w:fill="auto"/>
            <w:noWrap/>
            <w:vAlign w:val="center"/>
            <w:hideMark/>
          </w:tcPr>
          <w:p w14:paraId="6065C63C" w14:textId="5736AE62"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NL</w:t>
            </w:r>
          </w:p>
        </w:tc>
        <w:tc>
          <w:tcPr>
            <w:tcW w:w="1350" w:type="dxa"/>
            <w:shd w:val="clear" w:color="auto" w:fill="auto"/>
            <w:noWrap/>
            <w:vAlign w:val="center"/>
            <w:hideMark/>
          </w:tcPr>
          <w:p w14:paraId="3B72CEA1" w14:textId="35CA98DC"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31/08/2015</w:t>
            </w:r>
          </w:p>
        </w:tc>
        <w:tc>
          <w:tcPr>
            <w:tcW w:w="1170" w:type="dxa"/>
            <w:shd w:val="clear" w:color="auto" w:fill="auto"/>
            <w:noWrap/>
            <w:vAlign w:val="center"/>
            <w:hideMark/>
          </w:tcPr>
          <w:p w14:paraId="3E6DC05E" w14:textId="7DEA91D6"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10:23:00</w:t>
            </w:r>
          </w:p>
        </w:tc>
        <w:tc>
          <w:tcPr>
            <w:tcW w:w="1350" w:type="dxa"/>
            <w:shd w:val="clear" w:color="auto" w:fill="auto"/>
            <w:noWrap/>
            <w:vAlign w:val="center"/>
            <w:hideMark/>
          </w:tcPr>
          <w:p w14:paraId="1379B3BD" w14:textId="63DC20D5"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1/9/2015</w:t>
            </w:r>
          </w:p>
        </w:tc>
        <w:tc>
          <w:tcPr>
            <w:tcW w:w="1170" w:type="dxa"/>
            <w:shd w:val="clear" w:color="auto" w:fill="auto"/>
            <w:noWrap/>
            <w:vAlign w:val="center"/>
            <w:hideMark/>
          </w:tcPr>
          <w:p w14:paraId="3EF1081E" w14:textId="6DBAE81B"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8:40:32</w:t>
            </w:r>
          </w:p>
        </w:tc>
        <w:tc>
          <w:tcPr>
            <w:tcW w:w="1350" w:type="dxa"/>
            <w:shd w:val="clear" w:color="auto" w:fill="auto"/>
            <w:noWrap/>
            <w:vAlign w:val="bottom"/>
            <w:hideMark/>
          </w:tcPr>
          <w:p w14:paraId="3FD1320D" w14:textId="311DD628" w:rsidR="00107F69" w:rsidRPr="00215729" w:rsidRDefault="00107F69" w:rsidP="001555AE">
            <w:pPr>
              <w:spacing w:line="480" w:lineRule="auto"/>
              <w:jc w:val="right"/>
              <w:rPr>
                <w:rFonts w:ascii="Times New Roman" w:eastAsia="Times New Roman" w:hAnsi="Times New Roman" w:cs="Times New Roman"/>
                <w:color w:val="000000"/>
              </w:rPr>
            </w:pPr>
            <w:r w:rsidRPr="00215729">
              <w:rPr>
                <w:rFonts w:ascii="Times New Roman" w:eastAsia="Times New Roman" w:hAnsi="Times New Roman" w:cs="Times New Roman"/>
                <w:color w:val="000000"/>
              </w:rPr>
              <w:t>338</w:t>
            </w:r>
          </w:p>
        </w:tc>
      </w:tr>
      <w:tr w:rsidR="00107F69" w:rsidRPr="00215729" w14:paraId="0C519BC9" w14:textId="77777777" w:rsidTr="001555AE">
        <w:trPr>
          <w:trHeight w:val="315"/>
        </w:trPr>
        <w:tc>
          <w:tcPr>
            <w:tcW w:w="1430" w:type="dxa"/>
            <w:shd w:val="clear" w:color="auto" w:fill="auto"/>
            <w:noWrap/>
            <w:vAlign w:val="center"/>
            <w:hideMark/>
          </w:tcPr>
          <w:p w14:paraId="7E05D7B2" w14:textId="7CAB407C"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10</w:t>
            </w:r>
          </w:p>
        </w:tc>
        <w:tc>
          <w:tcPr>
            <w:tcW w:w="1080" w:type="dxa"/>
            <w:shd w:val="clear" w:color="auto" w:fill="auto"/>
            <w:noWrap/>
            <w:vAlign w:val="center"/>
            <w:hideMark/>
          </w:tcPr>
          <w:p w14:paraId="4130BF8D" w14:textId="358B339F"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NL</w:t>
            </w:r>
          </w:p>
        </w:tc>
        <w:tc>
          <w:tcPr>
            <w:tcW w:w="1350" w:type="dxa"/>
            <w:shd w:val="clear" w:color="auto" w:fill="auto"/>
            <w:noWrap/>
            <w:vAlign w:val="center"/>
            <w:hideMark/>
          </w:tcPr>
          <w:p w14:paraId="06314FAE" w14:textId="4558E6A5"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1/9/2015</w:t>
            </w:r>
          </w:p>
        </w:tc>
        <w:tc>
          <w:tcPr>
            <w:tcW w:w="1170" w:type="dxa"/>
            <w:shd w:val="clear" w:color="auto" w:fill="auto"/>
            <w:noWrap/>
            <w:vAlign w:val="center"/>
            <w:hideMark/>
          </w:tcPr>
          <w:p w14:paraId="2CCA7651" w14:textId="3777C746"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10:17:38</w:t>
            </w:r>
          </w:p>
        </w:tc>
        <w:tc>
          <w:tcPr>
            <w:tcW w:w="1350" w:type="dxa"/>
            <w:shd w:val="clear" w:color="auto" w:fill="auto"/>
            <w:noWrap/>
            <w:vAlign w:val="center"/>
            <w:hideMark/>
          </w:tcPr>
          <w:p w14:paraId="6E29CC6D" w14:textId="5AB4A24B"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3/9/2015</w:t>
            </w:r>
          </w:p>
        </w:tc>
        <w:tc>
          <w:tcPr>
            <w:tcW w:w="1170" w:type="dxa"/>
            <w:shd w:val="clear" w:color="auto" w:fill="auto"/>
            <w:noWrap/>
            <w:vAlign w:val="center"/>
            <w:hideMark/>
          </w:tcPr>
          <w:p w14:paraId="54946AFB" w14:textId="78CCDD78" w:rsidR="00107F69" w:rsidRPr="00215729" w:rsidRDefault="00107F69" w:rsidP="001555AE">
            <w:pPr>
              <w:spacing w:line="480" w:lineRule="auto"/>
              <w:jc w:val="center"/>
              <w:rPr>
                <w:rFonts w:ascii="Times New Roman" w:eastAsia="Times New Roman" w:hAnsi="Times New Roman" w:cs="Times New Roman"/>
                <w:color w:val="000000"/>
              </w:rPr>
            </w:pPr>
            <w:r w:rsidRPr="00215729">
              <w:rPr>
                <w:rFonts w:ascii="Times New Roman" w:eastAsia="Times New Roman" w:hAnsi="Times New Roman" w:cs="Times New Roman"/>
                <w:color w:val="000000"/>
              </w:rPr>
              <w:t>7:16:37</w:t>
            </w:r>
          </w:p>
        </w:tc>
        <w:tc>
          <w:tcPr>
            <w:tcW w:w="1350" w:type="dxa"/>
            <w:shd w:val="clear" w:color="auto" w:fill="auto"/>
            <w:noWrap/>
            <w:vAlign w:val="bottom"/>
            <w:hideMark/>
          </w:tcPr>
          <w:p w14:paraId="5CD902E9" w14:textId="09DF15CA" w:rsidR="00107F69" w:rsidRPr="00215729" w:rsidRDefault="00107F69" w:rsidP="001555AE">
            <w:pPr>
              <w:spacing w:line="480" w:lineRule="auto"/>
              <w:jc w:val="right"/>
              <w:rPr>
                <w:rFonts w:ascii="Times New Roman" w:eastAsia="Times New Roman" w:hAnsi="Times New Roman" w:cs="Times New Roman"/>
                <w:color w:val="000000"/>
              </w:rPr>
            </w:pPr>
            <w:r w:rsidRPr="00215729">
              <w:rPr>
                <w:rFonts w:ascii="Times New Roman" w:eastAsia="Times New Roman" w:hAnsi="Times New Roman" w:cs="Times New Roman"/>
                <w:color w:val="000000"/>
              </w:rPr>
              <w:t>573</w:t>
            </w:r>
          </w:p>
        </w:tc>
      </w:tr>
    </w:tbl>
    <w:p w14:paraId="3A09A08A" w14:textId="77777777" w:rsidR="00107F69" w:rsidRPr="00B23317" w:rsidRDefault="00107F69" w:rsidP="00107F69">
      <w:pPr>
        <w:spacing w:line="480" w:lineRule="auto"/>
        <w:rPr>
          <w:rFonts w:ascii="Times New Roman" w:hAnsi="Times New Roman" w:cs="Times New Roman"/>
        </w:rPr>
      </w:pPr>
    </w:p>
    <w:sectPr w:rsidR="00107F69" w:rsidRPr="00B23317" w:rsidSect="007B5392">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C"/>
    <w:rsid w:val="00012BF5"/>
    <w:rsid w:val="000754E7"/>
    <w:rsid w:val="00107F69"/>
    <w:rsid w:val="001D098D"/>
    <w:rsid w:val="00221FBC"/>
    <w:rsid w:val="00235752"/>
    <w:rsid w:val="002C198B"/>
    <w:rsid w:val="004C0448"/>
    <w:rsid w:val="0061117C"/>
    <w:rsid w:val="006366BA"/>
    <w:rsid w:val="00690699"/>
    <w:rsid w:val="007B5392"/>
    <w:rsid w:val="007B7326"/>
    <w:rsid w:val="009B4DD4"/>
    <w:rsid w:val="00B23317"/>
    <w:rsid w:val="00B42F52"/>
    <w:rsid w:val="00C45C12"/>
    <w:rsid w:val="00C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8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699"/>
    <w:rPr>
      <w:rFonts w:ascii="Times New Roman" w:hAnsi="Times New Roman" w:cs="Times New Roman"/>
      <w:sz w:val="18"/>
      <w:szCs w:val="18"/>
      <w:lang w:val="en-CA"/>
    </w:rPr>
  </w:style>
  <w:style w:type="character" w:styleId="LineNumber">
    <w:name w:val="line number"/>
    <w:basedOn w:val="DefaultParagraphFont"/>
    <w:uiPriority w:val="99"/>
    <w:semiHidden/>
    <w:unhideWhenUsed/>
    <w:rsid w:val="007B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1179</Words>
  <Characters>6724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Meintzer</dc:creator>
  <cp:keywords/>
  <dc:description/>
  <cp:lastModifiedBy>Phillip Meintzer</cp:lastModifiedBy>
  <cp:revision>14</cp:revision>
  <dcterms:created xsi:type="dcterms:W3CDTF">2016-11-11T17:50:00Z</dcterms:created>
  <dcterms:modified xsi:type="dcterms:W3CDTF">2016-12-09T13:33:00Z</dcterms:modified>
</cp:coreProperties>
</file>