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C4D" w:rsidRDefault="00F73C4D" w:rsidP="00F73C4D">
      <w:pPr>
        <w:rPr>
          <w:lang w:val="en-GB"/>
        </w:rPr>
      </w:pPr>
      <w:r w:rsidRPr="00F73C4D">
        <w:rPr>
          <w:b/>
        </w:rPr>
        <w:t>Appendix S1</w:t>
      </w:r>
      <w:r>
        <w:t xml:space="preserve"> The </w:t>
      </w:r>
      <w:proofErr w:type="gramStart"/>
      <w:r>
        <w:t>growth habit</w:t>
      </w:r>
      <w:proofErr w:type="gramEnd"/>
      <w:r>
        <w:t xml:space="preserve"> (A), flowers (B), and inflated seed capsule (C) of </w:t>
      </w:r>
      <w:r>
        <w:rPr>
          <w:i/>
        </w:rPr>
        <w:t xml:space="preserve">Nymania capensis </w:t>
      </w:r>
      <w:r>
        <w:t>(Meliaceae).</w:t>
      </w:r>
      <w:r w:rsidRPr="00DD1638">
        <w:rPr>
          <w:lang w:val="en-GB"/>
        </w:rPr>
        <w:t xml:space="preserve"> The inflated capsule is </w:t>
      </w:r>
      <w:r>
        <w:rPr>
          <w:lang w:val="en-GB"/>
        </w:rPr>
        <w:t xml:space="preserve">peculiar </w:t>
      </w:r>
      <w:r w:rsidRPr="00DD1638">
        <w:rPr>
          <w:lang w:val="en-GB"/>
        </w:rPr>
        <w:t xml:space="preserve">in this species as it is not known anywhere else in the Meliaceae </w:t>
      </w:r>
      <w:r w:rsidRPr="00DD1638">
        <w:rPr>
          <w:lang w:val="en-GB"/>
        </w:rPr>
        <w:fldChar w:fldCharType="begin"/>
      </w:r>
      <w:r w:rsidRPr="00DD1638">
        <w:rPr>
          <w:lang w:val="en-GB"/>
        </w:rPr>
        <w:instrText xml:space="preserve"> ADDIN EN.CITE &lt;EndNote&gt;&lt;Cite&gt;&lt;Author&gt;Pennington&lt;/Author&gt;&lt;Year&gt;1975&lt;/Year&gt;&lt;RecNum&gt;1446&lt;/RecNum&gt;&lt;DisplayText&gt;(Pennington &amp;amp; Styles, 1975)&lt;/DisplayText&gt;&lt;record&gt;&lt;rec-number&gt;1446&lt;/rec-number&gt;&lt;foreign-keys&gt;&lt;key app="EN" db-id="xadxfaf25adtz5eda2apf5tuxe0s92vdv5ws"&gt;1446&lt;/key&gt;&lt;/foreign-keys&gt;&lt;ref-type name="Journal Article"&gt;17&lt;/ref-type&gt;&lt;contributors&gt;&lt;authors&gt;&lt;author&gt;Pennington, T.D.&lt;/author&gt;&lt;author&gt;Styles, B.T.&lt;/author&gt;&lt;/authors&gt;&lt;/contributors&gt;&lt;titles&gt;&lt;title&gt;A generic monograph of the Meliaceae&lt;/title&gt;&lt;secondary-title&gt;Blumea&lt;/secondary-title&gt;&lt;/titles&gt;&lt;periodical&gt;&lt;full-title&gt;Blumea&lt;/full-title&gt;&lt;abbr-1&gt;Blumea&lt;/abbr-1&gt;&lt;abbr-2&gt;Blumea&lt;/abbr-2&gt;&lt;/periodical&gt;&lt;pages&gt;419-540&lt;/pages&gt;&lt;volume&gt;22&lt;/volume&gt;&lt;dates&gt;&lt;year&gt;1975&lt;/year&gt;&lt;/dates&gt;&lt;urls&gt;&lt;/urls&gt;&lt;/record&gt;&lt;/Cite&gt;&lt;/EndNote&gt;</w:instrText>
      </w:r>
      <w:r w:rsidRPr="00DD1638">
        <w:rPr>
          <w:lang w:val="en-GB"/>
        </w:rPr>
        <w:fldChar w:fldCharType="separate"/>
      </w:r>
      <w:r w:rsidRPr="00DD1638">
        <w:rPr>
          <w:lang w:val="en-GB"/>
        </w:rPr>
        <w:t>(</w:t>
      </w:r>
      <w:hyperlink w:anchor="_ENREF_2" w:tooltip="Pennington, 1975 #1446" w:history="1">
        <w:r w:rsidRPr="00F73C4D">
          <w:rPr>
            <w:lang w:val="en-GB"/>
          </w:rPr>
          <w:t>Pennington &amp; Styles, 1975</w:t>
        </w:r>
      </w:hyperlink>
      <w:r w:rsidRPr="00DD1638">
        <w:rPr>
          <w:lang w:val="en-GB"/>
        </w:rPr>
        <w:t>)</w:t>
      </w:r>
      <w:r w:rsidRPr="00DD1638">
        <w:fldChar w:fldCharType="end"/>
      </w:r>
      <w:r w:rsidRPr="00DD1638">
        <w:rPr>
          <w:lang w:val="en-GB"/>
        </w:rPr>
        <w:t>.</w:t>
      </w:r>
    </w:p>
    <w:p w:rsidR="00F73C4D" w:rsidRDefault="00F73C4D" w:rsidP="00F73C4D"/>
    <w:p w:rsidR="00F73C4D" w:rsidRDefault="00F73C4D" w:rsidP="00F73C4D">
      <w:r>
        <w:rPr>
          <w:noProof/>
          <w:lang w:eastAsia="en-ZA"/>
        </w:rPr>
        <w:drawing>
          <wp:inline distT="0" distB="0" distL="0" distR="0" wp14:anchorId="45E53840" wp14:editId="05ABBBAE">
            <wp:extent cx="5731510" cy="442416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7D4" w:rsidRDefault="00C937D4">
      <w:pPr>
        <w:rPr>
          <w:b/>
          <w:color w:val="000000" w:themeColor="text1"/>
          <w:sz w:val="24"/>
          <w:szCs w:val="24"/>
          <w:lang w:val="en-GB"/>
        </w:rPr>
      </w:pPr>
      <w:r>
        <w:rPr>
          <w:b/>
          <w:color w:val="000000" w:themeColor="text1"/>
          <w:sz w:val="24"/>
          <w:szCs w:val="24"/>
          <w:lang w:val="en-GB"/>
        </w:rPr>
        <w:br w:type="page"/>
      </w:r>
    </w:p>
    <w:p w:rsidR="00B850B4" w:rsidRDefault="00C937D4">
      <w:pPr>
        <w:rPr>
          <w:color w:val="000000" w:themeColor="text1"/>
          <w:sz w:val="24"/>
          <w:szCs w:val="24"/>
          <w:lang w:val="en-GB"/>
        </w:rPr>
      </w:pPr>
      <w:r>
        <w:rPr>
          <w:b/>
          <w:color w:val="000000" w:themeColor="text1"/>
          <w:sz w:val="24"/>
          <w:szCs w:val="24"/>
          <w:lang w:val="en-GB"/>
        </w:rPr>
        <w:lastRenderedPageBreak/>
        <w:t>Appendix S2</w:t>
      </w:r>
      <w:r w:rsidR="00B850B4">
        <w:rPr>
          <w:color w:val="000000" w:themeColor="text1"/>
          <w:sz w:val="24"/>
          <w:szCs w:val="24"/>
          <w:lang w:val="en-GB"/>
        </w:rPr>
        <w:t xml:space="preserve"> Additional methodological details</w:t>
      </w:r>
      <w:r>
        <w:rPr>
          <w:color w:val="000000" w:themeColor="text1"/>
          <w:sz w:val="24"/>
          <w:szCs w:val="24"/>
          <w:lang w:val="en-GB"/>
        </w:rPr>
        <w:t>.</w:t>
      </w:r>
    </w:p>
    <w:p w:rsidR="00B850B4" w:rsidRDefault="00B850B4">
      <w:pPr>
        <w:rPr>
          <w:color w:val="000000" w:themeColor="text1"/>
          <w:sz w:val="24"/>
          <w:szCs w:val="24"/>
          <w:lang w:val="en-GB"/>
        </w:rPr>
      </w:pPr>
    </w:p>
    <w:p w:rsidR="00B850B4" w:rsidRPr="00B850B4" w:rsidRDefault="00B850B4" w:rsidP="00B850B4">
      <w:pPr>
        <w:pStyle w:val="Heading2"/>
        <w:spacing w:line="480" w:lineRule="auto"/>
        <w:rPr>
          <w:i w:val="0"/>
        </w:rPr>
      </w:pPr>
      <w:r w:rsidRPr="00B850B4">
        <w:rPr>
          <w:i w:val="0"/>
        </w:rPr>
        <w:t>Samples and DNA data</w:t>
      </w:r>
    </w:p>
    <w:p w:rsidR="00B850B4" w:rsidRDefault="005007CD" w:rsidP="00B850B4">
      <w:pPr>
        <w:spacing w:line="360" w:lineRule="auto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Extraction protocols and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PCR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protocols for the ITS sequences follow those described in Potts et al. (2014); of note is that high fidelity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Taq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polymerase was used (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Kapa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HiFi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Taq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;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Kapa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Biosystems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, Boston, Massachusetts, United States). For the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ncpGS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region, the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PCRs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were performed in volumes of 36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μl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containing 1.2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μl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of template DNA, 3.6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μl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of 10X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Kapa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Taq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polymerase reaction buffer (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Kapa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Biosystems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), 0.72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μl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MgCl2 (50mM), 1.2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μl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of each primer (10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μM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), 1.44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μl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of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dNTPs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(10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mM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), 0.24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μl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Taq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polymerase and sterile H2O up to 36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μl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. The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PCR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protocol consisted of an initial 5 min denaturing step at 95°C; 30 cycles, each comprising 95°C for 1 min, 50°C for 1 min, 72°C for 2 min; and a final 7 min extension step at 72°C. All sequencing was performed by either </w:t>
      </w:r>
      <w:proofErr w:type="spellStart"/>
      <w:r w:rsidR="00B850B4" w:rsidRPr="00B850B4">
        <w:rPr>
          <w:color w:val="000000" w:themeColor="text1"/>
          <w:sz w:val="24"/>
          <w:szCs w:val="24"/>
          <w:lang w:val="en-GB"/>
        </w:rPr>
        <w:t>Macrogen</w:t>
      </w:r>
      <w:proofErr w:type="spellEnd"/>
      <w:r w:rsidR="00B850B4" w:rsidRPr="00B850B4">
        <w:rPr>
          <w:color w:val="000000" w:themeColor="text1"/>
          <w:sz w:val="24"/>
          <w:szCs w:val="24"/>
          <w:lang w:val="en-GB"/>
        </w:rPr>
        <w:t xml:space="preserve"> (Seoul, Korea) or the University of Stellenbosch Sequencing Facility (Cape Town, South Africa).</w:t>
      </w:r>
    </w:p>
    <w:p w:rsidR="00B850B4" w:rsidRDefault="00B850B4">
      <w:pPr>
        <w:rPr>
          <w:color w:val="000000" w:themeColor="text1"/>
          <w:sz w:val="24"/>
          <w:szCs w:val="24"/>
          <w:lang w:val="en-GB"/>
        </w:rPr>
      </w:pPr>
    </w:p>
    <w:p w:rsidR="00B850B4" w:rsidRPr="00B850B4" w:rsidRDefault="00B850B4">
      <w:pPr>
        <w:rPr>
          <w:b/>
          <w:color w:val="000000" w:themeColor="text1"/>
          <w:sz w:val="24"/>
          <w:szCs w:val="24"/>
          <w:lang w:val="en-GB"/>
        </w:rPr>
      </w:pPr>
      <w:r w:rsidRPr="00B850B4">
        <w:rPr>
          <w:b/>
          <w:color w:val="000000" w:themeColor="text1"/>
          <w:sz w:val="24"/>
          <w:szCs w:val="24"/>
          <w:lang w:val="en-GB"/>
        </w:rPr>
        <w:t xml:space="preserve">Phylogenetic and </w:t>
      </w:r>
      <w:proofErr w:type="spellStart"/>
      <w:r w:rsidRPr="00B850B4">
        <w:rPr>
          <w:b/>
          <w:color w:val="000000" w:themeColor="text1"/>
          <w:sz w:val="24"/>
          <w:szCs w:val="24"/>
          <w:lang w:val="en-GB"/>
        </w:rPr>
        <w:t>phylogeographic</w:t>
      </w:r>
      <w:proofErr w:type="spellEnd"/>
      <w:r w:rsidRPr="00B850B4">
        <w:rPr>
          <w:b/>
          <w:color w:val="000000" w:themeColor="text1"/>
          <w:sz w:val="24"/>
          <w:szCs w:val="24"/>
          <w:lang w:val="en-GB"/>
        </w:rPr>
        <w:t xml:space="preserve"> analyses</w:t>
      </w:r>
    </w:p>
    <w:p w:rsidR="00AC7B8A" w:rsidRDefault="00B850B4" w:rsidP="00B850B4">
      <w:pPr>
        <w:spacing w:line="360" w:lineRule="auto"/>
        <w:rPr>
          <w:color w:val="000000" w:themeColor="text1"/>
          <w:sz w:val="24"/>
          <w:szCs w:val="24"/>
          <w:lang w:val="en-GB"/>
        </w:rPr>
      </w:pPr>
      <w:r w:rsidRPr="00B850B4">
        <w:rPr>
          <w:color w:val="000000" w:themeColor="text1"/>
          <w:sz w:val="24"/>
          <w:szCs w:val="24"/>
          <w:lang w:val="en-GB"/>
        </w:rPr>
        <w:t>The level of genealogical divergence was assessed using the genealogical sorting index (</w:t>
      </w:r>
      <w:proofErr w:type="spellStart"/>
      <w:r w:rsidRPr="00B850B4">
        <w:rPr>
          <w:color w:val="000000" w:themeColor="text1"/>
          <w:sz w:val="24"/>
          <w:szCs w:val="24"/>
          <w:lang w:val="en-GB"/>
        </w:rPr>
        <w:t>gsi</w:t>
      </w:r>
      <w:proofErr w:type="spellEnd"/>
      <w:r w:rsidRPr="00B850B4">
        <w:rPr>
          <w:color w:val="000000" w:themeColor="text1"/>
          <w:sz w:val="24"/>
          <w:szCs w:val="24"/>
          <w:lang w:val="en-GB"/>
        </w:rPr>
        <w:t xml:space="preserve">, Cummings et al., 2008). The </w:t>
      </w:r>
      <w:proofErr w:type="spellStart"/>
      <w:r w:rsidRPr="00B850B4">
        <w:rPr>
          <w:color w:val="000000" w:themeColor="text1"/>
          <w:sz w:val="24"/>
          <w:szCs w:val="24"/>
          <w:lang w:val="en-GB"/>
        </w:rPr>
        <w:t>gsi</w:t>
      </w:r>
      <w:proofErr w:type="spellEnd"/>
      <w:r w:rsidRPr="00B850B4">
        <w:rPr>
          <w:color w:val="000000" w:themeColor="text1"/>
          <w:sz w:val="24"/>
          <w:szCs w:val="24"/>
          <w:lang w:val="en-GB"/>
        </w:rPr>
        <w:t xml:space="preserve"> statistic is a standardised measure of the extent to which predefined groups in a gene tree exhibit exclusive ancestry (fall within a distinct clade); the </w:t>
      </w:r>
      <w:proofErr w:type="spellStart"/>
      <w:r w:rsidRPr="00B850B4">
        <w:rPr>
          <w:color w:val="000000" w:themeColor="text1"/>
          <w:sz w:val="24"/>
          <w:szCs w:val="24"/>
          <w:lang w:val="en-GB"/>
        </w:rPr>
        <w:t>gsi</w:t>
      </w:r>
      <w:proofErr w:type="spellEnd"/>
      <w:r w:rsidRPr="00B850B4">
        <w:rPr>
          <w:color w:val="000000" w:themeColor="text1"/>
          <w:sz w:val="24"/>
          <w:szCs w:val="24"/>
          <w:lang w:val="en-GB"/>
        </w:rPr>
        <w:t xml:space="preserve"> statistic ranges from 0 (a complete lack of genealogical divergence with respect to other groups) to 1 (</w:t>
      </w:r>
      <w:proofErr w:type="spellStart"/>
      <w:r w:rsidRPr="00B850B4">
        <w:rPr>
          <w:color w:val="000000" w:themeColor="text1"/>
          <w:sz w:val="24"/>
          <w:szCs w:val="24"/>
          <w:lang w:val="en-GB"/>
        </w:rPr>
        <w:t>monophyly</w:t>
      </w:r>
      <w:proofErr w:type="spellEnd"/>
      <w:r w:rsidRPr="00B850B4">
        <w:rPr>
          <w:color w:val="000000" w:themeColor="text1"/>
          <w:sz w:val="24"/>
          <w:szCs w:val="24"/>
          <w:lang w:val="en-GB"/>
        </w:rPr>
        <w:t xml:space="preserve">, all elements of a predefined group fall within the same, exclusive </w:t>
      </w:r>
      <w:proofErr w:type="spellStart"/>
      <w:r w:rsidRPr="00B850B4">
        <w:rPr>
          <w:color w:val="000000" w:themeColor="text1"/>
          <w:sz w:val="24"/>
          <w:szCs w:val="24"/>
          <w:lang w:val="en-GB"/>
        </w:rPr>
        <w:t>subtree</w:t>
      </w:r>
      <w:proofErr w:type="spellEnd"/>
      <w:r w:rsidRPr="00B850B4">
        <w:rPr>
          <w:color w:val="000000" w:themeColor="text1"/>
          <w:sz w:val="24"/>
          <w:szCs w:val="24"/>
          <w:lang w:val="en-GB"/>
        </w:rPr>
        <w:t xml:space="preserve">). The significance of the </w:t>
      </w:r>
      <w:proofErr w:type="spellStart"/>
      <w:r w:rsidRPr="00B850B4">
        <w:rPr>
          <w:color w:val="000000" w:themeColor="text1"/>
          <w:sz w:val="24"/>
          <w:szCs w:val="24"/>
          <w:lang w:val="en-GB"/>
        </w:rPr>
        <w:t>gsi</w:t>
      </w:r>
      <w:proofErr w:type="spellEnd"/>
      <w:r w:rsidRPr="00B850B4">
        <w:rPr>
          <w:color w:val="000000" w:themeColor="text1"/>
          <w:sz w:val="24"/>
          <w:szCs w:val="24"/>
          <w:lang w:val="en-GB"/>
        </w:rPr>
        <w:t xml:space="preserve"> statistic is obtained through randomisation of the group labels across the tips in a gene tree. Thus, lineages within groups can be tested against a null hypothesis of no divergence. The </w:t>
      </w:r>
      <w:proofErr w:type="spellStart"/>
      <w:r w:rsidRPr="00B850B4">
        <w:rPr>
          <w:color w:val="000000" w:themeColor="text1"/>
          <w:sz w:val="24"/>
          <w:szCs w:val="24"/>
          <w:lang w:val="en-GB"/>
        </w:rPr>
        <w:t>gsi</w:t>
      </w:r>
      <w:proofErr w:type="spellEnd"/>
      <w:r w:rsidRPr="00B850B4">
        <w:rPr>
          <w:color w:val="000000" w:themeColor="text1"/>
          <w:sz w:val="24"/>
          <w:szCs w:val="24"/>
          <w:lang w:val="en-GB"/>
        </w:rPr>
        <w:t xml:space="preserve"> was calculated on 100 topologies sampled from the 1000 maximum likelihood bootstrap replicates (generated using </w:t>
      </w:r>
      <w:proofErr w:type="spellStart"/>
      <w:r w:rsidRPr="00B850B4">
        <w:rPr>
          <w:color w:val="000000" w:themeColor="text1"/>
          <w:sz w:val="24"/>
          <w:szCs w:val="24"/>
          <w:lang w:val="en-GB"/>
        </w:rPr>
        <w:t>RAxML</w:t>
      </w:r>
      <w:proofErr w:type="spellEnd"/>
      <w:r w:rsidRPr="00B850B4">
        <w:rPr>
          <w:color w:val="000000" w:themeColor="text1"/>
          <w:sz w:val="24"/>
          <w:szCs w:val="24"/>
          <w:lang w:val="en-GB"/>
        </w:rPr>
        <w:t xml:space="preserve">) for each DNA region. These 100 individual </w:t>
      </w:r>
      <w:proofErr w:type="spellStart"/>
      <w:r w:rsidRPr="00B850B4">
        <w:rPr>
          <w:color w:val="000000" w:themeColor="text1"/>
          <w:sz w:val="24"/>
          <w:szCs w:val="24"/>
          <w:lang w:val="en-GB"/>
        </w:rPr>
        <w:t>gsi</w:t>
      </w:r>
      <w:proofErr w:type="spellEnd"/>
      <w:r w:rsidRPr="00B850B4">
        <w:rPr>
          <w:color w:val="000000" w:themeColor="text1"/>
          <w:sz w:val="24"/>
          <w:szCs w:val="24"/>
          <w:lang w:val="en-GB"/>
        </w:rPr>
        <w:t xml:space="preserve"> measurements were then used to calculate an ensemble </w:t>
      </w:r>
      <w:proofErr w:type="spellStart"/>
      <w:r w:rsidRPr="00B850B4">
        <w:rPr>
          <w:color w:val="000000" w:themeColor="text1"/>
          <w:sz w:val="24"/>
          <w:szCs w:val="24"/>
          <w:lang w:val="en-GB"/>
        </w:rPr>
        <w:t>gsi</w:t>
      </w:r>
      <w:proofErr w:type="spellEnd"/>
      <w:r w:rsidRPr="00B850B4">
        <w:rPr>
          <w:color w:val="000000" w:themeColor="text1"/>
          <w:sz w:val="24"/>
          <w:szCs w:val="24"/>
          <w:lang w:val="en-GB"/>
        </w:rPr>
        <w:t xml:space="preserve"> statistic </w:t>
      </w:r>
      <w:proofErr w:type="spellStart"/>
      <w:r w:rsidRPr="00B850B4">
        <w:rPr>
          <w:color w:val="000000" w:themeColor="text1"/>
          <w:sz w:val="24"/>
          <w:szCs w:val="24"/>
          <w:lang w:val="en-GB"/>
        </w:rPr>
        <w:t>gsiT</w:t>
      </w:r>
      <w:proofErr w:type="spellEnd"/>
      <w:r w:rsidRPr="00B850B4">
        <w:rPr>
          <w:color w:val="000000" w:themeColor="text1"/>
          <w:sz w:val="24"/>
          <w:szCs w:val="24"/>
          <w:lang w:val="en-GB"/>
        </w:rPr>
        <w:t xml:space="preserve"> for each DNA region. The </w:t>
      </w:r>
      <w:proofErr w:type="spellStart"/>
      <w:r w:rsidRPr="00B850B4">
        <w:rPr>
          <w:color w:val="000000" w:themeColor="text1"/>
          <w:sz w:val="24"/>
          <w:szCs w:val="24"/>
          <w:lang w:val="en-GB"/>
        </w:rPr>
        <w:t>gsiT</w:t>
      </w:r>
      <w:proofErr w:type="spellEnd"/>
      <w:r w:rsidRPr="00B850B4">
        <w:rPr>
          <w:color w:val="000000" w:themeColor="text1"/>
          <w:sz w:val="24"/>
          <w:szCs w:val="24"/>
          <w:lang w:val="en-GB"/>
        </w:rPr>
        <w:t xml:space="preserve"> statistic represents a summary of genealogical exclusivity that incorporates tree topology uncertainty. All analyses were performed using the </w:t>
      </w:r>
      <w:proofErr w:type="spellStart"/>
      <w:r w:rsidRPr="00B850B4">
        <w:rPr>
          <w:color w:val="000000" w:themeColor="text1"/>
          <w:sz w:val="24"/>
          <w:szCs w:val="24"/>
          <w:lang w:val="en-GB"/>
        </w:rPr>
        <w:t>GENEALOGICALSORTING</w:t>
      </w:r>
      <w:proofErr w:type="spellEnd"/>
      <w:r w:rsidRPr="00B850B4">
        <w:rPr>
          <w:color w:val="000000" w:themeColor="text1"/>
          <w:sz w:val="24"/>
          <w:szCs w:val="24"/>
          <w:lang w:val="en-GB"/>
        </w:rPr>
        <w:t xml:space="preserve"> library version 0.91 (available from http://www.genealogicalsorting.org/) implemented in R 2.15.</w:t>
      </w:r>
      <w:r w:rsidR="00AC7B8A">
        <w:rPr>
          <w:color w:val="000000" w:themeColor="text1"/>
          <w:sz w:val="24"/>
          <w:szCs w:val="24"/>
          <w:lang w:val="en-GB"/>
        </w:rPr>
        <w:t xml:space="preserve"> </w:t>
      </w:r>
    </w:p>
    <w:p w:rsidR="007C3299" w:rsidRPr="00B850B4" w:rsidRDefault="00AC7B8A" w:rsidP="00B850B4">
      <w:pPr>
        <w:spacing w:line="360" w:lineRule="auto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lastRenderedPageBreak/>
        <w:t>Note that a</w:t>
      </w:r>
      <w:r w:rsidRPr="00AC7B8A">
        <w:rPr>
          <w:color w:val="000000" w:themeColor="text1"/>
          <w:sz w:val="24"/>
          <w:szCs w:val="24"/>
          <w:lang w:val="en-GB"/>
        </w:rPr>
        <w:t xml:space="preserve">nalyses of molecular variance would be a suitable statistical framework to assess the level of genealogical divergence; however, all software </w:t>
      </w:r>
      <w:r>
        <w:rPr>
          <w:color w:val="000000" w:themeColor="text1"/>
          <w:sz w:val="24"/>
          <w:szCs w:val="24"/>
          <w:lang w:val="en-GB"/>
        </w:rPr>
        <w:t xml:space="preserve">at present </w:t>
      </w:r>
      <w:r w:rsidRPr="00AC7B8A">
        <w:rPr>
          <w:color w:val="000000" w:themeColor="text1"/>
          <w:sz w:val="24"/>
          <w:szCs w:val="24"/>
          <w:lang w:val="en-GB"/>
        </w:rPr>
        <w:t>cannot accommod</w:t>
      </w:r>
      <w:r>
        <w:rPr>
          <w:color w:val="000000" w:themeColor="text1"/>
          <w:sz w:val="24"/>
          <w:szCs w:val="24"/>
          <w:lang w:val="en-GB"/>
        </w:rPr>
        <w:t xml:space="preserve">ate 2ISPs in the DNA alignment </w:t>
      </w:r>
      <w:r w:rsidRPr="00AC7B8A">
        <w:rPr>
          <w:color w:val="000000" w:themeColor="text1"/>
          <w:sz w:val="24"/>
          <w:szCs w:val="24"/>
          <w:lang w:val="en-GB"/>
        </w:rPr>
        <w:t xml:space="preserve">(such sites are usually removed prior to analysis; e.g. </w:t>
      </w:r>
      <w:proofErr w:type="spellStart"/>
      <w:r w:rsidRPr="00AC7B8A">
        <w:rPr>
          <w:color w:val="000000" w:themeColor="text1"/>
          <w:sz w:val="24"/>
          <w:szCs w:val="24"/>
          <w:lang w:val="en-GB"/>
        </w:rPr>
        <w:t>Arlequin</w:t>
      </w:r>
      <w:proofErr w:type="spellEnd"/>
      <w:r w:rsidRPr="00AC7B8A">
        <w:rPr>
          <w:color w:val="000000" w:themeColor="text1"/>
          <w:sz w:val="24"/>
          <w:szCs w:val="24"/>
          <w:lang w:val="en-GB"/>
        </w:rPr>
        <w:t xml:space="preserve"> version 3.01 - </w:t>
      </w:r>
      <w:proofErr w:type="spellStart"/>
      <w:r w:rsidRPr="00AC7B8A">
        <w:rPr>
          <w:color w:val="000000" w:themeColor="text1"/>
          <w:sz w:val="24"/>
          <w:szCs w:val="24"/>
          <w:lang w:val="en-GB"/>
        </w:rPr>
        <w:t>Excoffier</w:t>
      </w:r>
      <w:proofErr w:type="spellEnd"/>
      <w:r w:rsidRPr="00AC7B8A">
        <w:rPr>
          <w:color w:val="000000" w:themeColor="text1"/>
          <w:sz w:val="24"/>
          <w:szCs w:val="24"/>
          <w:lang w:val="en-GB"/>
        </w:rPr>
        <w:t xml:space="preserve"> et al., 2005).</w:t>
      </w:r>
      <w:r w:rsidR="00FA436F">
        <w:rPr>
          <w:color w:val="000000" w:themeColor="text1"/>
          <w:sz w:val="24"/>
          <w:szCs w:val="24"/>
          <w:lang w:val="en-GB"/>
        </w:rPr>
        <w:t xml:space="preserve"> Thus, analyses of genealogical divergence were restricted to the </w:t>
      </w:r>
      <w:r w:rsidR="00FA436F" w:rsidRPr="00FA436F">
        <w:rPr>
          <w:color w:val="000000" w:themeColor="text1"/>
          <w:sz w:val="24"/>
          <w:szCs w:val="24"/>
          <w:lang w:val="en-GB"/>
        </w:rPr>
        <w:t>genealogical sorting index</w:t>
      </w:r>
      <w:r w:rsidR="00FA436F">
        <w:rPr>
          <w:color w:val="000000" w:themeColor="text1"/>
          <w:sz w:val="24"/>
          <w:szCs w:val="24"/>
          <w:lang w:val="en-GB"/>
        </w:rPr>
        <w:t xml:space="preserve"> that, as</w:t>
      </w:r>
      <w:r w:rsidR="00FA436F" w:rsidRPr="00FA436F">
        <w:rPr>
          <w:color w:val="000000" w:themeColor="text1"/>
          <w:sz w:val="24"/>
          <w:szCs w:val="24"/>
          <w:lang w:val="en-GB"/>
        </w:rPr>
        <w:t xml:space="preserve"> a tree-based index, </w:t>
      </w:r>
      <w:r w:rsidR="00FA436F">
        <w:rPr>
          <w:color w:val="000000" w:themeColor="text1"/>
          <w:sz w:val="24"/>
          <w:szCs w:val="24"/>
          <w:lang w:val="en-GB"/>
        </w:rPr>
        <w:t xml:space="preserve">is </w:t>
      </w:r>
      <w:r w:rsidR="00FA436F" w:rsidRPr="00FA436F">
        <w:rPr>
          <w:color w:val="000000" w:themeColor="text1"/>
          <w:sz w:val="24"/>
          <w:szCs w:val="24"/>
          <w:lang w:val="en-GB"/>
        </w:rPr>
        <w:t>unaffected by the presence of 2ISPs in the DNA alignment.</w:t>
      </w:r>
    </w:p>
    <w:p w:rsidR="00B850B4" w:rsidRPr="00B850B4" w:rsidRDefault="00B850B4">
      <w:pPr>
        <w:rPr>
          <w:color w:val="000000" w:themeColor="text1"/>
          <w:sz w:val="24"/>
          <w:szCs w:val="24"/>
          <w:lang w:val="en-GB"/>
        </w:rPr>
      </w:pPr>
    </w:p>
    <w:p w:rsidR="007C3299" w:rsidRPr="00B850B4" w:rsidRDefault="007C3299">
      <w:pPr>
        <w:rPr>
          <w:b/>
          <w:color w:val="000000" w:themeColor="text1"/>
          <w:sz w:val="24"/>
          <w:szCs w:val="24"/>
          <w:lang w:val="en-GB"/>
        </w:rPr>
      </w:pPr>
      <w:r w:rsidRPr="00B850B4">
        <w:rPr>
          <w:b/>
          <w:color w:val="000000" w:themeColor="text1"/>
          <w:sz w:val="24"/>
          <w:szCs w:val="24"/>
          <w:lang w:val="en-GB"/>
        </w:rPr>
        <w:t>Molecular dating</w:t>
      </w:r>
    </w:p>
    <w:p w:rsidR="007C3299" w:rsidRPr="00B850B4" w:rsidRDefault="007C3299" w:rsidP="007331D3">
      <w:pPr>
        <w:pStyle w:val="NormalWeb"/>
        <w:spacing w:after="0" w:line="360" w:lineRule="auto"/>
        <w:rPr>
          <w:rFonts w:asciiTheme="minorHAnsi" w:hAnsiTheme="minorHAnsi"/>
          <w:color w:val="000000" w:themeColor="text1"/>
        </w:rPr>
      </w:pPr>
      <w:r w:rsidRPr="00B850B4">
        <w:rPr>
          <w:rFonts w:asciiTheme="minorHAnsi" w:hAnsiTheme="minorHAnsi"/>
          <w:color w:val="000000" w:themeColor="text1"/>
        </w:rPr>
        <w:t xml:space="preserve">The dating of lineage divergence was carried out using </w:t>
      </w:r>
      <w:r w:rsidRPr="00B850B4">
        <w:rPr>
          <w:rFonts w:asciiTheme="minorHAnsi" w:hAnsiTheme="minorHAnsi"/>
          <w:smallCaps/>
          <w:color w:val="000000" w:themeColor="text1"/>
        </w:rPr>
        <w:t>Beast</w:t>
      </w:r>
      <w:r w:rsidRPr="00B850B4">
        <w:rPr>
          <w:rFonts w:asciiTheme="minorHAnsi" w:hAnsiTheme="minorHAnsi"/>
          <w:color w:val="000000" w:themeColor="text1"/>
        </w:rPr>
        <w:t xml:space="preserve"> version 1.4.8 </w:t>
      </w:r>
      <w:r w:rsidRPr="00B850B4">
        <w:rPr>
          <w:rFonts w:asciiTheme="minorHAnsi" w:hAnsiTheme="minorHAnsi"/>
          <w:color w:val="000000" w:themeColor="text1"/>
        </w:rPr>
        <w:fldChar w:fldCharType="begin"/>
      </w:r>
      <w:r w:rsidRPr="00B850B4">
        <w:rPr>
          <w:rFonts w:asciiTheme="minorHAnsi" w:hAnsiTheme="minorHAnsi"/>
          <w:color w:val="000000" w:themeColor="text1"/>
        </w:rPr>
        <w:instrText xml:space="preserve"> ADDIN EN.CITE &lt;EndNote&gt;&lt;Cite&gt;&lt;Author&gt;Drummond&lt;/Author&gt;&lt;Year&gt;2007&lt;/Year&gt;&lt;RecNum&gt;1350&lt;/RecNum&gt;&lt;DisplayText&gt;(Drummond &amp;amp; Rambaut, 2007)&lt;/DisplayText&gt;&lt;record&gt;&lt;rec-number&gt;1350&lt;/rec-number&gt;&lt;foreign-keys&gt;&lt;key app="EN" db-id="xadxfaf25adtz5eda2apf5tuxe0s92vdv5ws"&gt;1350&lt;/key&gt;&lt;/foreign-keys&gt;&lt;ref-type name="Journal Article"&gt;17&lt;/ref-type&gt;&lt;contributors&gt;&lt;authors&gt;&lt;author&gt;Drummond, A.J.&lt;/author&gt;&lt;author&gt;Rambaut, A.&lt;/author&gt;&lt;/authors&gt;&lt;/contributors&gt;&lt;titles&gt;&lt;title&gt;BEAST: Bayesian evolutionary analysis by sampling trees&lt;/title&gt;&lt;secondary-title&gt;BMC Evolutionary Biology&lt;/secondary-title&gt;&lt;/titles&gt;&lt;periodical&gt;&lt;full-title&gt;BMC Evolutionary Biology&lt;/full-title&gt;&lt;abbr-1&gt;BMC Evol. Biol.&lt;/abbr-1&gt;&lt;abbr-2&gt;BMC Evol Biol&lt;/abbr-2&gt;&lt;/periodical&gt;&lt;pages&gt;214&lt;/pages&gt;&lt;volume&gt;7&lt;/volume&gt;&lt;dates&gt;&lt;year&gt;2007&lt;/year&gt;&lt;/dates&gt;&lt;urls&gt;&lt;/urls&gt;&lt;/record&gt;&lt;/Cite&gt;&lt;/EndNote&gt;</w:instrText>
      </w:r>
      <w:r w:rsidRPr="00B850B4">
        <w:rPr>
          <w:rFonts w:asciiTheme="minorHAnsi" w:hAnsiTheme="minorHAnsi"/>
          <w:color w:val="000000" w:themeColor="text1"/>
        </w:rPr>
        <w:fldChar w:fldCharType="separate"/>
      </w:r>
      <w:r w:rsidRPr="00B850B4">
        <w:rPr>
          <w:rFonts w:asciiTheme="minorHAnsi" w:hAnsiTheme="minorHAnsi"/>
          <w:noProof/>
          <w:color w:val="000000" w:themeColor="text1"/>
        </w:rPr>
        <w:t>(</w:t>
      </w:r>
      <w:hyperlink w:anchor="_ENREF_1" w:tooltip="Drummond, 2007 #1350" w:history="1">
        <w:r w:rsidR="00F73C4D" w:rsidRPr="00B850B4">
          <w:rPr>
            <w:rFonts w:asciiTheme="minorHAnsi" w:hAnsiTheme="minorHAnsi"/>
            <w:noProof/>
            <w:color w:val="000000" w:themeColor="text1"/>
          </w:rPr>
          <w:t>Drummond &amp; Rambaut, 2007</w:t>
        </w:r>
      </w:hyperlink>
      <w:r w:rsidRPr="00B850B4">
        <w:rPr>
          <w:rFonts w:asciiTheme="minorHAnsi" w:hAnsiTheme="minorHAnsi"/>
          <w:noProof/>
          <w:color w:val="000000" w:themeColor="text1"/>
        </w:rPr>
        <w:t>)</w:t>
      </w:r>
      <w:r w:rsidRPr="00B850B4">
        <w:rPr>
          <w:rFonts w:asciiTheme="minorHAnsi" w:hAnsiTheme="minorHAnsi"/>
          <w:color w:val="000000" w:themeColor="text1"/>
        </w:rPr>
        <w:fldChar w:fldCharType="end"/>
      </w:r>
      <w:r w:rsidRPr="00B850B4">
        <w:rPr>
          <w:rFonts w:asciiTheme="minorHAnsi" w:hAnsiTheme="minorHAnsi"/>
          <w:color w:val="000000" w:themeColor="text1"/>
        </w:rPr>
        <w:t xml:space="preserve">, which estimates the tree topology and the date (height) of nodes simultaneously using a Bayesian approach. The </w:t>
      </w:r>
      <w:r w:rsidRPr="00B850B4">
        <w:rPr>
          <w:rFonts w:asciiTheme="minorHAnsi" w:hAnsiTheme="minorHAnsi"/>
          <w:smallCaps/>
          <w:color w:val="000000" w:themeColor="text1"/>
        </w:rPr>
        <w:t>Beast</w:t>
      </w:r>
      <w:r w:rsidRPr="00B850B4">
        <w:rPr>
          <w:rFonts w:asciiTheme="minorHAnsi" w:hAnsiTheme="minorHAnsi"/>
          <w:color w:val="000000" w:themeColor="text1"/>
        </w:rPr>
        <w:t xml:space="preserve"> analysis was performed using all </w:t>
      </w:r>
      <w:proofErr w:type="spellStart"/>
      <w:r w:rsidRPr="00B850B4">
        <w:rPr>
          <w:rFonts w:asciiTheme="minorHAnsi" w:hAnsiTheme="minorHAnsi"/>
          <w:color w:val="000000" w:themeColor="text1"/>
        </w:rPr>
        <w:t>cpDNA</w:t>
      </w:r>
      <w:proofErr w:type="spellEnd"/>
      <w:r w:rsidRPr="00B850B4">
        <w:rPr>
          <w:rFonts w:asciiTheme="minorHAnsi" w:hAnsiTheme="minorHAnsi"/>
          <w:color w:val="000000" w:themeColor="text1"/>
        </w:rPr>
        <w:t xml:space="preserve"> samples as this sampling is important for coalescent estimation of lineage divergence. The chloroplast dataset were analysed using the K3Puf substitution model, as selected by the </w:t>
      </w:r>
      <w:proofErr w:type="spellStart"/>
      <w:r w:rsidRPr="00B850B4">
        <w:rPr>
          <w:rFonts w:asciiTheme="minorHAnsi" w:hAnsiTheme="minorHAnsi"/>
          <w:color w:val="000000" w:themeColor="text1"/>
        </w:rPr>
        <w:t>Akaike</w:t>
      </w:r>
      <w:proofErr w:type="spellEnd"/>
      <w:r w:rsidRPr="00B850B4">
        <w:rPr>
          <w:rFonts w:asciiTheme="minorHAnsi" w:hAnsiTheme="minorHAnsi"/>
          <w:color w:val="000000" w:themeColor="text1"/>
        </w:rPr>
        <w:t xml:space="preserve"> Information Criterion in </w:t>
      </w:r>
      <w:proofErr w:type="spellStart"/>
      <w:r w:rsidRPr="00B850B4">
        <w:rPr>
          <w:rFonts w:asciiTheme="minorHAnsi" w:hAnsiTheme="minorHAnsi"/>
          <w:smallCaps/>
          <w:color w:val="000000" w:themeColor="text1"/>
        </w:rPr>
        <w:t>jModelTest</w:t>
      </w:r>
      <w:proofErr w:type="spellEnd"/>
      <w:r w:rsidRPr="00B850B4">
        <w:rPr>
          <w:rFonts w:asciiTheme="minorHAnsi" w:hAnsiTheme="minorHAnsi"/>
          <w:color w:val="000000" w:themeColor="text1"/>
        </w:rPr>
        <w:t xml:space="preserve"> version 0.1.1 </w:t>
      </w:r>
      <w:r w:rsidRPr="00B850B4">
        <w:rPr>
          <w:rFonts w:asciiTheme="minorHAnsi" w:hAnsiTheme="minorHAnsi"/>
          <w:color w:val="000000" w:themeColor="text1"/>
        </w:rPr>
        <w:fldChar w:fldCharType="begin"/>
      </w:r>
      <w:r w:rsidRPr="00B850B4">
        <w:rPr>
          <w:rFonts w:asciiTheme="minorHAnsi" w:hAnsiTheme="minorHAnsi"/>
          <w:color w:val="000000" w:themeColor="text1"/>
        </w:rPr>
        <w:instrText xml:space="preserve"> ADDIN EN.CITE &lt;EndNote&gt;&lt;Cite&gt;&lt;Author&gt;Posada&lt;/Author&gt;&lt;Year&gt;2008&lt;/Year&gt;&lt;RecNum&gt;979&lt;/RecNum&gt;&lt;DisplayText&gt;(Posada, 2008)&lt;/DisplayText&gt;&lt;record&gt;&lt;rec-number&gt;979&lt;/rec-number&gt;&lt;foreign-keys&gt;&lt;key app="EN" db-id="xadxfaf25adtz5eda2apf5tuxe0s92vdv5ws"&gt;979&lt;/key&gt;&lt;/foreign-keys&gt;&lt;ref-type name="Journal Article"&gt;17&lt;/ref-type&gt;&lt;contributors&gt;&lt;authors&gt;&lt;author&gt;Posada, David&lt;/author&gt;&lt;/authors&gt;&lt;/contributors&gt;&lt;titles&gt;&lt;title&gt;jModelTest: phylogenetic model averaging&lt;/title&gt;&lt;secondary-title&gt;Molecular Biology and Evolution&lt;/secondary-title&gt;&lt;/titles&gt;&lt;periodical&gt;&lt;full-title&gt;Molecular Biology and Evolution&lt;/full-title&gt;&lt;abbr-1&gt;Mol. Biol. Evol.&lt;/abbr-1&gt;&lt;abbr-2&gt;Mol Biol Evol&lt;/abbr-2&gt;&lt;abbr-3&gt;Molecular Biology &amp;amp; Evolution&lt;/abbr-3&gt;&lt;/periodical&gt;&lt;pages&gt;1253-1256&lt;/pages&gt;&lt;volume&gt;25&lt;/volume&gt;&lt;number&gt;7&lt;/number&gt;&lt;dates&gt;&lt;year&gt;2008&lt;/year&gt;&lt;pub-dates&gt;&lt;date&gt;July 1, 2008&lt;/date&gt;&lt;/pub-dates&gt;&lt;/dates&gt;&lt;urls&gt;&lt;related-urls&gt;&lt;url&gt;http://mbe.oxfordjournals.org/content/25/7/1253.abstract &lt;/url&gt;&lt;/related-urls&gt;&lt;/urls&gt;&lt;electronic-resource-num&gt;10.1093/molbev/msn083&lt;/electronic-resource-num&gt;&lt;research-notes&gt;jModelTest&lt;/research-notes&gt;&lt;/record&gt;&lt;/Cite&gt;&lt;/EndNote&gt;</w:instrText>
      </w:r>
      <w:r w:rsidRPr="00B850B4">
        <w:rPr>
          <w:rFonts w:asciiTheme="minorHAnsi" w:hAnsiTheme="minorHAnsi"/>
          <w:color w:val="000000" w:themeColor="text1"/>
        </w:rPr>
        <w:fldChar w:fldCharType="separate"/>
      </w:r>
      <w:r w:rsidRPr="00B850B4">
        <w:rPr>
          <w:rFonts w:asciiTheme="minorHAnsi" w:hAnsiTheme="minorHAnsi"/>
          <w:noProof/>
          <w:color w:val="000000" w:themeColor="text1"/>
        </w:rPr>
        <w:t>(</w:t>
      </w:r>
      <w:hyperlink w:anchor="_ENREF_3" w:tooltip="Posada, 2008 #979" w:history="1">
        <w:r w:rsidR="00F73C4D" w:rsidRPr="00B850B4">
          <w:rPr>
            <w:rFonts w:asciiTheme="minorHAnsi" w:hAnsiTheme="minorHAnsi"/>
            <w:noProof/>
            <w:color w:val="000000" w:themeColor="text1"/>
          </w:rPr>
          <w:t>Posada, 2008</w:t>
        </w:r>
      </w:hyperlink>
      <w:r w:rsidRPr="00B850B4">
        <w:rPr>
          <w:rFonts w:asciiTheme="minorHAnsi" w:hAnsiTheme="minorHAnsi"/>
          <w:noProof/>
          <w:color w:val="000000" w:themeColor="text1"/>
        </w:rPr>
        <w:t>)</w:t>
      </w:r>
      <w:r w:rsidRPr="00B850B4">
        <w:rPr>
          <w:rFonts w:asciiTheme="minorHAnsi" w:hAnsiTheme="minorHAnsi"/>
          <w:color w:val="000000" w:themeColor="text1"/>
        </w:rPr>
        <w:fldChar w:fldCharType="end"/>
      </w:r>
      <w:r w:rsidRPr="00B850B4">
        <w:rPr>
          <w:rFonts w:asciiTheme="minorHAnsi" w:hAnsiTheme="minorHAnsi"/>
          <w:color w:val="000000" w:themeColor="text1"/>
        </w:rPr>
        <w:t xml:space="preserve">, and the </w:t>
      </w:r>
      <w:proofErr w:type="spellStart"/>
      <w:r w:rsidRPr="00B850B4">
        <w:rPr>
          <w:rFonts w:asciiTheme="minorHAnsi" w:hAnsiTheme="minorHAnsi"/>
          <w:color w:val="000000" w:themeColor="text1"/>
        </w:rPr>
        <w:t>Dollo</w:t>
      </w:r>
      <w:proofErr w:type="spellEnd"/>
      <w:r w:rsidRPr="00B850B4">
        <w:rPr>
          <w:rFonts w:asciiTheme="minorHAnsi" w:hAnsiTheme="minorHAnsi"/>
          <w:color w:val="000000" w:themeColor="text1"/>
        </w:rPr>
        <w:t xml:space="preserve"> model for </w:t>
      </w:r>
      <w:proofErr w:type="spellStart"/>
      <w:r w:rsidRPr="00B850B4">
        <w:rPr>
          <w:rFonts w:asciiTheme="minorHAnsi" w:hAnsiTheme="minorHAnsi"/>
          <w:color w:val="000000" w:themeColor="text1"/>
        </w:rPr>
        <w:t>indels</w:t>
      </w:r>
      <w:proofErr w:type="spellEnd"/>
      <w:r w:rsidRPr="00B850B4">
        <w:rPr>
          <w:rFonts w:asciiTheme="minorHAnsi" w:hAnsiTheme="minorHAnsi"/>
          <w:color w:val="000000" w:themeColor="text1"/>
        </w:rPr>
        <w:t xml:space="preserve">. The hypothesis of rate constancy between samples was rejected using the relative rate test </w:t>
      </w:r>
      <w:r w:rsidRPr="00B850B4">
        <w:rPr>
          <w:rFonts w:asciiTheme="minorHAnsi" w:hAnsiTheme="minorHAnsi"/>
          <w:color w:val="000000" w:themeColor="text1"/>
        </w:rPr>
        <w:fldChar w:fldCharType="begin"/>
      </w:r>
      <w:r w:rsidRPr="00B850B4">
        <w:rPr>
          <w:rFonts w:asciiTheme="minorHAnsi" w:hAnsiTheme="minorHAnsi"/>
          <w:color w:val="000000" w:themeColor="text1"/>
        </w:rPr>
        <w:instrText xml:space="preserve"> ADDIN EN.CITE &lt;EndNote&gt;&lt;Cite&gt;&lt;Author&gt;Tajima&lt;/Author&gt;&lt;Year&gt;1993&lt;/Year&gt;&lt;RecNum&gt;779&lt;/RecNum&gt;&lt;DisplayText&gt;(Tajima, 1993)&lt;/DisplayText&gt;&lt;record&gt;&lt;rec-number&gt;779&lt;/rec-number&gt;&lt;foreign-keys&gt;&lt;key app="EN" db-id="xadxfaf25adtz5eda2apf5tuxe0s92vdv5ws"&gt;779&lt;/key&gt;&lt;/foreign-keys&gt;&lt;ref-type name="Journal Article"&gt;17&lt;/ref-type&gt;&lt;contributors&gt;&lt;authors&gt;&lt;author&gt;Tajima, F.&lt;/author&gt;&lt;/authors&gt;&lt;/contributors&gt;&lt;titles&gt;&lt;title&gt;Simple methods for testing molecular clock hypothesis&lt;/title&gt;&lt;secondary-title&gt;Genetics&lt;/secondary-title&gt;&lt;/titles&gt;&lt;periodical&gt;&lt;full-title&gt;Genetics&lt;/full-title&gt;&lt;abbr-1&gt;Genetics&lt;/abbr-1&gt;&lt;abbr-2&gt;Genetics&lt;/abbr-2&gt;&lt;/periodical&gt;&lt;pages&gt;599-607&lt;/pages&gt;&lt;volume&gt;135&lt;/volume&gt;&lt;dates&gt;&lt;year&gt;1993&lt;/year&gt;&lt;/dates&gt;&lt;label&gt;Methodology&lt;/label&gt;&lt;urls&gt;&lt;/urls&gt;&lt;research-notes&gt;Ref for relative rate test for hypothesis of molecular clock&lt;/research-notes&gt;&lt;/record&gt;&lt;/Cite&gt;&lt;/EndNote&gt;</w:instrText>
      </w:r>
      <w:r w:rsidRPr="00B850B4">
        <w:rPr>
          <w:rFonts w:asciiTheme="minorHAnsi" w:hAnsiTheme="minorHAnsi"/>
          <w:color w:val="000000" w:themeColor="text1"/>
        </w:rPr>
        <w:fldChar w:fldCharType="separate"/>
      </w:r>
      <w:r w:rsidRPr="00B850B4">
        <w:rPr>
          <w:rFonts w:asciiTheme="minorHAnsi" w:hAnsiTheme="minorHAnsi"/>
          <w:noProof/>
          <w:color w:val="000000" w:themeColor="text1"/>
        </w:rPr>
        <w:t>(</w:t>
      </w:r>
      <w:hyperlink w:anchor="_ENREF_4" w:tooltip="Tajima, 1993 #779" w:history="1">
        <w:r w:rsidR="00F73C4D" w:rsidRPr="00B850B4">
          <w:rPr>
            <w:rFonts w:asciiTheme="minorHAnsi" w:hAnsiTheme="minorHAnsi"/>
            <w:noProof/>
            <w:color w:val="000000" w:themeColor="text1"/>
          </w:rPr>
          <w:t>Tajima, 1993</w:t>
        </w:r>
      </w:hyperlink>
      <w:r w:rsidRPr="00B850B4">
        <w:rPr>
          <w:rFonts w:asciiTheme="minorHAnsi" w:hAnsiTheme="minorHAnsi"/>
          <w:noProof/>
          <w:color w:val="000000" w:themeColor="text1"/>
        </w:rPr>
        <w:t>)</w:t>
      </w:r>
      <w:r w:rsidRPr="00B850B4">
        <w:rPr>
          <w:rFonts w:asciiTheme="minorHAnsi" w:hAnsiTheme="minorHAnsi"/>
          <w:color w:val="000000" w:themeColor="text1"/>
        </w:rPr>
        <w:fldChar w:fldCharType="end"/>
      </w:r>
      <w:r w:rsidRPr="00B850B4">
        <w:rPr>
          <w:rFonts w:asciiTheme="minorHAnsi" w:hAnsiTheme="minorHAnsi"/>
          <w:color w:val="000000" w:themeColor="text1"/>
        </w:rPr>
        <w:t xml:space="preserve"> as implemented within the </w:t>
      </w:r>
      <w:r w:rsidRPr="00B850B4">
        <w:rPr>
          <w:rFonts w:asciiTheme="minorHAnsi" w:hAnsiTheme="minorHAnsi"/>
          <w:smallCaps/>
          <w:color w:val="000000" w:themeColor="text1"/>
        </w:rPr>
        <w:t>ape</w:t>
      </w:r>
      <w:r w:rsidRPr="00B850B4">
        <w:rPr>
          <w:rFonts w:asciiTheme="minorHAnsi" w:hAnsiTheme="minorHAnsi"/>
          <w:color w:val="000000" w:themeColor="text1"/>
        </w:rPr>
        <w:t xml:space="preserve"> library in R using an </w:t>
      </w:r>
      <w:proofErr w:type="spellStart"/>
      <w:r w:rsidRPr="00B850B4">
        <w:rPr>
          <w:rFonts w:asciiTheme="minorHAnsi" w:hAnsiTheme="minorHAnsi"/>
          <w:color w:val="000000" w:themeColor="text1"/>
        </w:rPr>
        <w:t>outgroup</w:t>
      </w:r>
      <w:proofErr w:type="spellEnd"/>
      <w:r w:rsidRPr="00B850B4">
        <w:rPr>
          <w:rFonts w:asciiTheme="minorHAnsi" w:hAnsiTheme="minorHAnsi"/>
          <w:color w:val="000000" w:themeColor="text1"/>
        </w:rPr>
        <w:t xml:space="preserve"> sample (BOL48535). Therefore, an uncorrelated lognormal clock was used for all </w:t>
      </w:r>
      <w:r w:rsidRPr="00B850B4">
        <w:rPr>
          <w:rFonts w:asciiTheme="minorHAnsi" w:hAnsiTheme="minorHAnsi"/>
          <w:smallCaps/>
          <w:color w:val="000000" w:themeColor="text1"/>
        </w:rPr>
        <w:t>Beast</w:t>
      </w:r>
      <w:r w:rsidRPr="00B850B4">
        <w:rPr>
          <w:rFonts w:asciiTheme="minorHAnsi" w:hAnsiTheme="minorHAnsi"/>
          <w:color w:val="000000" w:themeColor="text1"/>
        </w:rPr>
        <w:t xml:space="preserve"> analyses. All other priors were left to the defaults. The </w:t>
      </w:r>
      <w:r w:rsidRPr="00B850B4">
        <w:rPr>
          <w:rFonts w:asciiTheme="minorHAnsi" w:hAnsiTheme="minorHAnsi"/>
          <w:smallCaps/>
          <w:color w:val="000000" w:themeColor="text1"/>
        </w:rPr>
        <w:t>Beast</w:t>
      </w:r>
      <w:r w:rsidRPr="00B850B4">
        <w:rPr>
          <w:rFonts w:asciiTheme="minorHAnsi" w:hAnsiTheme="minorHAnsi"/>
          <w:color w:val="000000" w:themeColor="text1"/>
        </w:rPr>
        <w:t xml:space="preserve"> analysis were replicated (N = 3) to verify convergence to </w:t>
      </w:r>
      <w:proofErr w:type="spellStart"/>
      <w:r w:rsidRPr="00B850B4">
        <w:rPr>
          <w:rFonts w:asciiTheme="minorHAnsi" w:hAnsiTheme="minorHAnsi"/>
          <w:color w:val="000000" w:themeColor="text1"/>
        </w:rPr>
        <w:t>stationarity</w:t>
      </w:r>
      <w:proofErr w:type="spellEnd"/>
      <w:r w:rsidRPr="00B850B4">
        <w:rPr>
          <w:rFonts w:asciiTheme="minorHAnsi" w:hAnsiTheme="minorHAnsi"/>
          <w:color w:val="000000" w:themeColor="text1"/>
        </w:rPr>
        <w:t xml:space="preserve"> and the estimation of effective sample size (</w:t>
      </w:r>
      <w:proofErr w:type="spellStart"/>
      <w:r w:rsidRPr="00B850B4">
        <w:rPr>
          <w:rFonts w:asciiTheme="minorHAnsi" w:hAnsiTheme="minorHAnsi"/>
          <w:color w:val="000000" w:themeColor="text1"/>
        </w:rPr>
        <w:t>ESS</w:t>
      </w:r>
      <w:proofErr w:type="spellEnd"/>
      <w:r w:rsidRPr="00B850B4">
        <w:rPr>
          <w:rFonts w:asciiTheme="minorHAnsi" w:hAnsiTheme="minorHAnsi"/>
          <w:color w:val="000000" w:themeColor="text1"/>
        </w:rPr>
        <w:t>); this was confirmed by visual inspection of each analysis. Each analysis was run for 10</w:t>
      </w:r>
      <w:r w:rsidRPr="00B850B4">
        <w:rPr>
          <w:rFonts w:asciiTheme="minorHAnsi" w:hAnsiTheme="minorHAnsi"/>
          <w:color w:val="000000" w:themeColor="text1"/>
          <w:vertAlign w:val="superscript"/>
        </w:rPr>
        <w:t>7</w:t>
      </w:r>
      <w:r w:rsidRPr="00B850B4">
        <w:rPr>
          <w:rFonts w:asciiTheme="minorHAnsi" w:hAnsiTheme="minorHAnsi"/>
          <w:color w:val="000000" w:themeColor="text1"/>
        </w:rPr>
        <w:t xml:space="preserve"> generations, sampling every 10</w:t>
      </w:r>
      <w:r w:rsidRPr="00B850B4">
        <w:rPr>
          <w:rFonts w:asciiTheme="minorHAnsi" w:hAnsiTheme="minorHAnsi"/>
          <w:color w:val="000000" w:themeColor="text1"/>
          <w:vertAlign w:val="superscript"/>
        </w:rPr>
        <w:t>4</w:t>
      </w:r>
      <w:r w:rsidRPr="00B850B4">
        <w:rPr>
          <w:rFonts w:asciiTheme="minorHAnsi" w:hAnsiTheme="minorHAnsi"/>
          <w:color w:val="000000" w:themeColor="text1"/>
        </w:rPr>
        <w:t xml:space="preserve"> generations (i.e. a total sampling of 1000 trees). After discarding the first 200 samples as </w:t>
      </w:r>
      <w:proofErr w:type="spellStart"/>
      <w:r w:rsidRPr="00B850B4">
        <w:rPr>
          <w:rFonts w:asciiTheme="minorHAnsi" w:hAnsiTheme="minorHAnsi"/>
          <w:color w:val="000000" w:themeColor="text1"/>
        </w:rPr>
        <w:t>burnin</w:t>
      </w:r>
      <w:proofErr w:type="spellEnd"/>
      <w:r w:rsidRPr="00B850B4">
        <w:rPr>
          <w:rFonts w:asciiTheme="minorHAnsi" w:hAnsiTheme="minorHAnsi"/>
          <w:color w:val="000000" w:themeColor="text1"/>
        </w:rPr>
        <w:t>, the parameter and tree estimates from the three runs were combined to yield a consensus of maximum clade credibility (posterior probability limit set to 0.5) and median and 95% posterior densities (</w:t>
      </w:r>
      <w:proofErr w:type="spellStart"/>
      <w:r w:rsidRPr="00B850B4">
        <w:rPr>
          <w:rFonts w:asciiTheme="minorHAnsi" w:hAnsiTheme="minorHAnsi"/>
          <w:color w:val="000000" w:themeColor="text1"/>
        </w:rPr>
        <w:t>HPD</w:t>
      </w:r>
      <w:proofErr w:type="spellEnd"/>
      <w:r w:rsidRPr="00B850B4">
        <w:rPr>
          <w:rFonts w:asciiTheme="minorHAnsi" w:hAnsiTheme="minorHAnsi"/>
          <w:color w:val="000000" w:themeColor="text1"/>
        </w:rPr>
        <w:t xml:space="preserve">) of age estimates. Molecular dating using </w:t>
      </w:r>
      <w:proofErr w:type="spellStart"/>
      <w:r w:rsidRPr="00B850B4">
        <w:rPr>
          <w:rFonts w:asciiTheme="minorHAnsi" w:hAnsiTheme="minorHAnsi"/>
          <w:color w:val="000000" w:themeColor="text1"/>
        </w:rPr>
        <w:t>nDNA</w:t>
      </w:r>
      <w:proofErr w:type="spellEnd"/>
      <w:r w:rsidRPr="00B850B4">
        <w:rPr>
          <w:rFonts w:asciiTheme="minorHAnsi" w:hAnsiTheme="minorHAnsi"/>
          <w:color w:val="000000" w:themeColor="text1"/>
        </w:rPr>
        <w:t xml:space="preserve"> alignments was not </w:t>
      </w:r>
      <w:proofErr w:type="gramStart"/>
      <w:r w:rsidRPr="00B850B4">
        <w:rPr>
          <w:rFonts w:asciiTheme="minorHAnsi" w:hAnsiTheme="minorHAnsi"/>
          <w:color w:val="000000" w:themeColor="text1"/>
        </w:rPr>
        <w:t>possible,</w:t>
      </w:r>
      <w:proofErr w:type="gramEnd"/>
      <w:r w:rsidRPr="00B850B4">
        <w:rPr>
          <w:rFonts w:asciiTheme="minorHAnsi" w:hAnsiTheme="minorHAnsi"/>
          <w:color w:val="000000" w:themeColor="text1"/>
        </w:rPr>
        <w:t xml:space="preserve"> as intra-individual variant variability was observed and variant sequences of known phase were unavailable for most samples.</w:t>
      </w:r>
    </w:p>
    <w:p w:rsidR="007C590E" w:rsidRDefault="007C590E">
      <w:pPr>
        <w:rPr>
          <w:lang w:val="en-GB"/>
        </w:rPr>
      </w:pPr>
    </w:p>
    <w:p w:rsidR="00D73882" w:rsidRPr="00D73882" w:rsidRDefault="00D73882" w:rsidP="00D73882">
      <w:pPr>
        <w:pStyle w:val="Heading2"/>
        <w:spacing w:line="480" w:lineRule="auto"/>
        <w:rPr>
          <w:i w:val="0"/>
        </w:rPr>
      </w:pPr>
      <w:r w:rsidRPr="00D73882">
        <w:rPr>
          <w:i w:val="0"/>
        </w:rPr>
        <w:t>2ISP detection: Direct-</w:t>
      </w:r>
      <w:proofErr w:type="spellStart"/>
      <w:r w:rsidRPr="00D73882">
        <w:rPr>
          <w:i w:val="0"/>
        </w:rPr>
        <w:t>PCR</w:t>
      </w:r>
      <w:proofErr w:type="spellEnd"/>
      <w:r w:rsidRPr="00D73882">
        <w:rPr>
          <w:i w:val="0"/>
        </w:rPr>
        <w:t xml:space="preserve"> versus cloning</w:t>
      </w:r>
    </w:p>
    <w:p w:rsidR="00D73882" w:rsidRDefault="00D73882" w:rsidP="00D73882">
      <w:pPr>
        <w:spacing w:line="360" w:lineRule="auto"/>
      </w:pPr>
      <w:r w:rsidRPr="007C590E">
        <w:rPr>
          <w:sz w:val="24"/>
          <w:szCs w:val="24"/>
        </w:rPr>
        <w:t>Tests of how successful direct-</w:t>
      </w:r>
      <w:proofErr w:type="spellStart"/>
      <w:r w:rsidRPr="007C590E">
        <w:rPr>
          <w:sz w:val="24"/>
          <w:szCs w:val="24"/>
        </w:rPr>
        <w:t>PCR</w:t>
      </w:r>
      <w:proofErr w:type="spellEnd"/>
      <w:r w:rsidRPr="007C590E">
        <w:rPr>
          <w:sz w:val="24"/>
          <w:szCs w:val="24"/>
        </w:rPr>
        <w:t xml:space="preserve"> sequencing is for detecting 2ISPs are limited. To assess this, eight samples were cloned and eight clones were sequenced per sample.  The 2ISPs </w:t>
      </w:r>
      <w:r w:rsidRPr="007C590E">
        <w:rPr>
          <w:sz w:val="24"/>
          <w:szCs w:val="24"/>
        </w:rPr>
        <w:lastRenderedPageBreak/>
        <w:t>detected in direct-</w:t>
      </w:r>
      <w:proofErr w:type="spellStart"/>
      <w:r w:rsidRPr="007C590E">
        <w:rPr>
          <w:sz w:val="24"/>
          <w:szCs w:val="24"/>
        </w:rPr>
        <w:t>PCR</w:t>
      </w:r>
      <w:proofErr w:type="spellEnd"/>
      <w:r w:rsidRPr="007C590E">
        <w:rPr>
          <w:sz w:val="24"/>
          <w:szCs w:val="24"/>
        </w:rPr>
        <w:t xml:space="preserve"> ITS sequences were compared with the variable sites found in the clones for each individual. </w:t>
      </w:r>
      <w:r w:rsidRPr="005A0C4B">
        <w:rPr>
          <w:color w:val="000000" w:themeColor="text1"/>
          <w:sz w:val="24"/>
          <w:szCs w:val="24"/>
          <w:lang w:val="en-GB"/>
        </w:rPr>
        <w:t xml:space="preserve">Cloning </w:t>
      </w:r>
      <w:r>
        <w:rPr>
          <w:color w:val="000000" w:themeColor="text1"/>
          <w:sz w:val="24"/>
          <w:szCs w:val="24"/>
          <w:lang w:val="en-GB"/>
        </w:rPr>
        <w:t xml:space="preserve">for </w:t>
      </w:r>
      <w:r>
        <w:rPr>
          <w:color w:val="000000" w:themeColor="text1"/>
          <w:sz w:val="24"/>
          <w:szCs w:val="24"/>
          <w:lang w:val="en-GB"/>
        </w:rPr>
        <w:t xml:space="preserve">this comparison </w:t>
      </w:r>
      <w:r w:rsidRPr="005A0C4B">
        <w:rPr>
          <w:color w:val="000000" w:themeColor="text1"/>
          <w:sz w:val="24"/>
          <w:szCs w:val="24"/>
          <w:lang w:val="en-GB"/>
        </w:rPr>
        <w:t xml:space="preserve">was performed using the </w:t>
      </w:r>
      <w:proofErr w:type="spellStart"/>
      <w:r w:rsidRPr="005A0C4B">
        <w:rPr>
          <w:color w:val="000000" w:themeColor="text1"/>
          <w:sz w:val="24"/>
          <w:szCs w:val="24"/>
          <w:lang w:val="en-GB"/>
        </w:rPr>
        <w:t>pGEM</w:t>
      </w:r>
      <w:proofErr w:type="spellEnd"/>
      <w:r w:rsidRPr="005A0C4B">
        <w:rPr>
          <w:color w:val="000000" w:themeColor="text1"/>
          <w:sz w:val="24"/>
          <w:szCs w:val="24"/>
          <w:lang w:val="en-GB"/>
        </w:rPr>
        <w:t>-T Easy Vector System II (</w:t>
      </w:r>
      <w:proofErr w:type="spellStart"/>
      <w:r w:rsidRPr="005A0C4B">
        <w:rPr>
          <w:color w:val="000000" w:themeColor="text1"/>
          <w:sz w:val="24"/>
          <w:szCs w:val="24"/>
          <w:lang w:val="en-GB"/>
        </w:rPr>
        <w:t>Promega</w:t>
      </w:r>
      <w:proofErr w:type="spellEnd"/>
      <w:r w:rsidRPr="005A0C4B">
        <w:rPr>
          <w:color w:val="000000" w:themeColor="text1"/>
          <w:sz w:val="24"/>
          <w:szCs w:val="24"/>
          <w:lang w:val="en-GB"/>
        </w:rPr>
        <w:t xml:space="preserve"> Wisconsin, USA) following the manufacturer’s instructions, but downscaled to half reactions. To facilitate cloning, </w:t>
      </w:r>
      <w:proofErr w:type="spellStart"/>
      <w:r w:rsidRPr="005A0C4B">
        <w:rPr>
          <w:color w:val="000000" w:themeColor="text1"/>
          <w:sz w:val="24"/>
          <w:szCs w:val="24"/>
          <w:lang w:val="en-GB"/>
        </w:rPr>
        <w:t>Kapa</w:t>
      </w:r>
      <w:proofErr w:type="spellEnd"/>
      <w:r w:rsidRPr="005A0C4B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5A0C4B">
        <w:rPr>
          <w:color w:val="000000" w:themeColor="text1"/>
          <w:sz w:val="24"/>
          <w:szCs w:val="24"/>
          <w:lang w:val="en-GB"/>
        </w:rPr>
        <w:t>HiFi</w:t>
      </w:r>
      <w:proofErr w:type="spellEnd"/>
      <w:r w:rsidRPr="005A0C4B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5A0C4B">
        <w:rPr>
          <w:color w:val="000000" w:themeColor="text1"/>
          <w:sz w:val="24"/>
          <w:szCs w:val="24"/>
          <w:lang w:val="en-GB"/>
        </w:rPr>
        <w:t>PCR</w:t>
      </w:r>
      <w:proofErr w:type="spellEnd"/>
      <w:r w:rsidRPr="005A0C4B">
        <w:rPr>
          <w:color w:val="000000" w:themeColor="text1"/>
          <w:sz w:val="24"/>
          <w:szCs w:val="24"/>
          <w:lang w:val="en-GB"/>
        </w:rPr>
        <w:t xml:space="preserve"> products were incubated at 72°C for 10 minutes with </w:t>
      </w:r>
      <w:proofErr w:type="spellStart"/>
      <w:r w:rsidRPr="005A0C4B">
        <w:rPr>
          <w:color w:val="000000" w:themeColor="text1"/>
          <w:sz w:val="24"/>
          <w:szCs w:val="24"/>
          <w:lang w:val="en-GB"/>
        </w:rPr>
        <w:t>Kapa</w:t>
      </w:r>
      <w:proofErr w:type="spellEnd"/>
      <w:r w:rsidRPr="005A0C4B">
        <w:rPr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5A0C4B">
        <w:rPr>
          <w:color w:val="000000" w:themeColor="text1"/>
          <w:sz w:val="24"/>
          <w:szCs w:val="24"/>
          <w:lang w:val="en-GB"/>
        </w:rPr>
        <w:t>Taq</w:t>
      </w:r>
      <w:proofErr w:type="spellEnd"/>
      <w:r w:rsidRPr="005A0C4B">
        <w:rPr>
          <w:color w:val="000000" w:themeColor="text1"/>
          <w:sz w:val="24"/>
          <w:szCs w:val="24"/>
          <w:lang w:val="en-GB"/>
        </w:rPr>
        <w:t xml:space="preserve"> polymerase to provide 5´ terminal thymidine overhangs.</w:t>
      </w:r>
      <w:r>
        <w:rPr>
          <w:color w:val="000000" w:themeColor="text1"/>
          <w:sz w:val="24"/>
          <w:szCs w:val="24"/>
          <w:lang w:val="en-GB"/>
        </w:rPr>
        <w:t xml:space="preserve"> </w:t>
      </w:r>
      <w:r w:rsidRPr="007C590E">
        <w:rPr>
          <w:sz w:val="24"/>
          <w:szCs w:val="24"/>
        </w:rPr>
        <w:t>These results were then compared with two similar studies that compared direct-</w:t>
      </w:r>
      <w:proofErr w:type="spellStart"/>
      <w:r w:rsidRPr="007C590E">
        <w:rPr>
          <w:sz w:val="24"/>
          <w:szCs w:val="24"/>
        </w:rPr>
        <w:t>PCR</w:t>
      </w:r>
      <w:proofErr w:type="spellEnd"/>
      <w:r w:rsidRPr="007C590E">
        <w:rPr>
          <w:sz w:val="24"/>
          <w:szCs w:val="24"/>
        </w:rPr>
        <w:t xml:space="preserve"> and cloned sequences </w:t>
      </w:r>
      <w:r w:rsidRPr="007C590E">
        <w:rPr>
          <w:sz w:val="24"/>
          <w:szCs w:val="24"/>
        </w:rPr>
        <w:fldChar w:fldCharType="begin">
          <w:fldData xml:space="preserve">PEVuZE5vdGU+PENpdGU+PEF1dGhvcj5ZYW1hamk8L0F1dGhvcj48WWVhcj4yMDA3PC9ZZWFyPjxS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==
</w:fldData>
        </w:fldChar>
      </w:r>
      <w:r w:rsidRPr="007C590E">
        <w:rPr>
          <w:sz w:val="24"/>
          <w:szCs w:val="24"/>
        </w:rPr>
        <w:instrText xml:space="preserve"> ADDIN EN.CITE </w:instrText>
      </w:r>
      <w:r w:rsidRPr="007C590E">
        <w:rPr>
          <w:sz w:val="24"/>
          <w:szCs w:val="24"/>
        </w:rPr>
        <w:fldChar w:fldCharType="begin">
          <w:fldData xml:space="preserve">PEVuZE5vdGU+PENpdGU+PEF1dGhvcj5ZYW1hamk8L0F1dGhvcj48WWVhcj4yMDA3PC9ZZWFyPjxS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==
</w:fldData>
        </w:fldChar>
      </w:r>
      <w:r w:rsidRPr="007C590E">
        <w:rPr>
          <w:sz w:val="24"/>
          <w:szCs w:val="24"/>
        </w:rPr>
        <w:instrText xml:space="preserve"> ADDIN EN.CITE.DATA </w:instrText>
      </w:r>
      <w:r w:rsidRPr="007C590E">
        <w:rPr>
          <w:sz w:val="24"/>
          <w:szCs w:val="24"/>
        </w:rPr>
      </w:r>
      <w:r w:rsidRPr="007C590E">
        <w:rPr>
          <w:sz w:val="24"/>
          <w:szCs w:val="24"/>
        </w:rPr>
        <w:fldChar w:fldCharType="end"/>
      </w:r>
      <w:r w:rsidRPr="007C590E">
        <w:rPr>
          <w:sz w:val="24"/>
          <w:szCs w:val="24"/>
        </w:rPr>
      </w:r>
      <w:r w:rsidRPr="007C590E">
        <w:rPr>
          <w:sz w:val="24"/>
          <w:szCs w:val="24"/>
        </w:rPr>
        <w:fldChar w:fldCharType="separate"/>
      </w:r>
      <w:r w:rsidRPr="007C590E">
        <w:rPr>
          <w:noProof/>
          <w:sz w:val="24"/>
          <w:szCs w:val="24"/>
        </w:rPr>
        <w:t>(</w:t>
      </w:r>
      <w:hyperlink w:anchor="_ENREF_52" w:tooltip="Rosselló, 2007 #974" w:history="1">
        <w:r w:rsidRPr="007C590E">
          <w:rPr>
            <w:noProof/>
            <w:sz w:val="24"/>
            <w:szCs w:val="24"/>
          </w:rPr>
          <w:t>Rosselló</w:t>
        </w:r>
        <w:r w:rsidRPr="007C590E">
          <w:rPr>
            <w:i/>
            <w:noProof/>
            <w:sz w:val="24"/>
            <w:szCs w:val="24"/>
          </w:rPr>
          <w:t xml:space="preserve"> et al.</w:t>
        </w:r>
        <w:r w:rsidRPr="007C590E">
          <w:rPr>
            <w:noProof/>
            <w:sz w:val="24"/>
            <w:szCs w:val="24"/>
          </w:rPr>
          <w:t>, 2007</w:t>
        </w:r>
      </w:hyperlink>
      <w:r w:rsidRPr="007C590E">
        <w:rPr>
          <w:noProof/>
          <w:sz w:val="24"/>
          <w:szCs w:val="24"/>
        </w:rPr>
        <w:t xml:space="preserve">; </w:t>
      </w:r>
      <w:hyperlink w:anchor="_ENREF_72" w:tooltip="Yamaji, 2007 #1179" w:history="1">
        <w:r w:rsidRPr="007C590E">
          <w:rPr>
            <w:noProof/>
            <w:sz w:val="24"/>
            <w:szCs w:val="24"/>
          </w:rPr>
          <w:t>Yamaji</w:t>
        </w:r>
        <w:r w:rsidRPr="007C590E">
          <w:rPr>
            <w:i/>
            <w:noProof/>
            <w:sz w:val="24"/>
            <w:szCs w:val="24"/>
          </w:rPr>
          <w:t xml:space="preserve"> et al.</w:t>
        </w:r>
        <w:r w:rsidRPr="007C590E">
          <w:rPr>
            <w:noProof/>
            <w:sz w:val="24"/>
            <w:szCs w:val="24"/>
          </w:rPr>
          <w:t>, 2007</w:t>
        </w:r>
      </w:hyperlink>
      <w:r w:rsidRPr="007C590E">
        <w:rPr>
          <w:noProof/>
          <w:sz w:val="24"/>
          <w:szCs w:val="24"/>
        </w:rPr>
        <w:t>)</w:t>
      </w:r>
      <w:r w:rsidRPr="007C590E">
        <w:rPr>
          <w:sz w:val="24"/>
          <w:szCs w:val="24"/>
        </w:rPr>
        <w:fldChar w:fldCharType="end"/>
      </w:r>
      <w:r w:rsidRPr="007C590E">
        <w:rPr>
          <w:sz w:val="24"/>
          <w:szCs w:val="24"/>
        </w:rPr>
        <w:t>.</w:t>
      </w:r>
    </w:p>
    <w:p w:rsidR="00F03C2A" w:rsidRDefault="00D73882" w:rsidP="005007CD">
      <w:pPr>
        <w:pStyle w:val="NormalWeb"/>
        <w:spacing w:after="0" w:line="360" w:lineRule="auto"/>
        <w:jc w:val="both"/>
        <w:rPr>
          <w:rFonts w:asciiTheme="minorHAnsi" w:hAnsiTheme="minorHAnsi"/>
        </w:rPr>
      </w:pPr>
      <w:r w:rsidRPr="00EE6DCB">
        <w:rPr>
          <w:rFonts w:asciiTheme="minorHAnsi" w:hAnsiTheme="minorHAnsi"/>
        </w:rPr>
        <w:t xml:space="preserve">Direct-sequencing </w:t>
      </w:r>
      <w:r>
        <w:rPr>
          <w:rFonts w:asciiTheme="minorHAnsi" w:hAnsiTheme="minorHAnsi"/>
        </w:rPr>
        <w:t>was</w:t>
      </w:r>
      <w:r w:rsidRPr="00EE6DC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found </w:t>
      </w:r>
      <w:r w:rsidRPr="00EE6DCB">
        <w:rPr>
          <w:rFonts w:asciiTheme="minorHAnsi" w:hAnsiTheme="minorHAnsi"/>
        </w:rPr>
        <w:t xml:space="preserve">to detect the majority (77%) of 2ISPs in </w:t>
      </w:r>
      <w:r w:rsidRPr="00EE6DCB">
        <w:rPr>
          <w:rFonts w:asciiTheme="minorHAnsi" w:hAnsiTheme="minorHAnsi"/>
          <w:i/>
        </w:rPr>
        <w:t>Nymania capensis</w:t>
      </w:r>
      <w:r w:rsidRPr="00EE6DCB">
        <w:rPr>
          <w:rFonts w:asciiTheme="minorHAnsi" w:hAnsiTheme="minorHAnsi"/>
        </w:rPr>
        <w:t xml:space="preserve"> when compared to the variable sites observed in the clones</w:t>
      </w:r>
      <w:r w:rsidR="00F03C2A">
        <w:rPr>
          <w:rFonts w:asciiTheme="minorHAnsi" w:hAnsiTheme="minorHAnsi"/>
        </w:rPr>
        <w:t xml:space="preserve"> (</w:t>
      </w:r>
      <w:r w:rsidR="00F03C2A" w:rsidRPr="00F03C2A">
        <w:rPr>
          <w:rFonts w:asciiTheme="minorHAnsi" w:hAnsiTheme="minorHAnsi"/>
        </w:rPr>
        <w:t>Table S2.1</w:t>
      </w:r>
      <w:r w:rsidR="00F03C2A">
        <w:rPr>
          <w:rFonts w:asciiTheme="minorHAnsi" w:hAnsiTheme="minorHAnsi"/>
        </w:rPr>
        <w:t>)</w:t>
      </w:r>
      <w:r w:rsidRPr="00EE6DCB">
        <w:rPr>
          <w:rFonts w:asciiTheme="minorHAnsi" w:hAnsiTheme="minorHAnsi"/>
        </w:rPr>
        <w:t xml:space="preserve">. There </w:t>
      </w:r>
      <w:proofErr w:type="gramStart"/>
      <w:r w:rsidRPr="00EE6DCB">
        <w:rPr>
          <w:rFonts w:asciiTheme="minorHAnsi" w:hAnsiTheme="minorHAnsi"/>
        </w:rPr>
        <w:t>is</w:t>
      </w:r>
      <w:proofErr w:type="gramEnd"/>
      <w:r w:rsidRPr="00EE6DCB">
        <w:rPr>
          <w:rFonts w:asciiTheme="minorHAnsi" w:hAnsiTheme="minorHAnsi"/>
        </w:rPr>
        <w:t xml:space="preserve"> also a low percentage of false-positives (5.5%; Table </w:t>
      </w:r>
      <w:r w:rsidR="00415088">
        <w:rPr>
          <w:rFonts w:asciiTheme="minorHAnsi" w:hAnsiTheme="minorHAnsi"/>
        </w:rPr>
        <w:t>S</w:t>
      </w:r>
      <w:r w:rsidRPr="00EE6DCB">
        <w:rPr>
          <w:rFonts w:asciiTheme="minorHAnsi" w:hAnsiTheme="minorHAnsi"/>
        </w:rPr>
        <w:t>2</w:t>
      </w:r>
      <w:r w:rsidR="00F03C2A">
        <w:rPr>
          <w:rFonts w:asciiTheme="minorHAnsi" w:hAnsiTheme="minorHAnsi"/>
        </w:rPr>
        <w:t>.1</w:t>
      </w:r>
      <w:r w:rsidRPr="00EE6DCB">
        <w:rPr>
          <w:rFonts w:asciiTheme="minorHAnsi" w:hAnsiTheme="minorHAnsi"/>
        </w:rPr>
        <w:t xml:space="preserve">) in direct-sequencing alignment (i.e. 2ISPs not observed in the clone sample); false positives </w:t>
      </w:r>
      <w:r>
        <w:rPr>
          <w:rFonts w:asciiTheme="minorHAnsi" w:hAnsiTheme="minorHAnsi"/>
        </w:rPr>
        <w:t xml:space="preserve">might </w:t>
      </w:r>
      <w:r w:rsidRPr="00EE6DCB">
        <w:rPr>
          <w:rFonts w:asciiTheme="minorHAnsi" w:hAnsiTheme="minorHAnsi"/>
        </w:rPr>
        <w:t>arise from insufficient sampling of the intra-individual clone population rather than false 2ISP detection in the direct sequencing. These results are similar to thos</w:t>
      </w:r>
      <w:bookmarkStart w:id="0" w:name="_GoBack"/>
      <w:bookmarkEnd w:id="0"/>
      <w:r w:rsidRPr="00EE6DCB">
        <w:rPr>
          <w:rFonts w:asciiTheme="minorHAnsi" w:hAnsiTheme="minorHAnsi"/>
        </w:rPr>
        <w:t xml:space="preserve">e reported by </w:t>
      </w:r>
      <w:proofErr w:type="spellStart"/>
      <w:r w:rsidRPr="00EE6DCB">
        <w:rPr>
          <w:rFonts w:asciiTheme="minorHAnsi" w:hAnsiTheme="minorHAnsi"/>
        </w:rPr>
        <w:t>Rosselló</w:t>
      </w:r>
      <w:proofErr w:type="spellEnd"/>
      <w:r w:rsidRPr="00EE6DCB">
        <w:rPr>
          <w:rFonts w:asciiTheme="minorHAnsi" w:hAnsiTheme="minorHAnsi"/>
        </w:rPr>
        <w:t xml:space="preserve"> </w:t>
      </w:r>
      <w:r w:rsidRPr="00EE6DCB">
        <w:rPr>
          <w:rFonts w:asciiTheme="minorHAnsi" w:hAnsiTheme="minorHAnsi"/>
          <w:i/>
        </w:rPr>
        <w:t>et al.</w:t>
      </w:r>
      <w:r w:rsidRPr="00EE6DCB">
        <w:rPr>
          <w:rFonts w:asciiTheme="minorHAnsi" w:hAnsiTheme="minorHAnsi"/>
        </w:rPr>
        <w:t xml:space="preserve"> </w:t>
      </w:r>
      <w:r w:rsidRPr="00EE6DCB">
        <w:rPr>
          <w:rFonts w:asciiTheme="minorHAnsi" w:hAnsiTheme="minorHAnsi"/>
        </w:rPr>
        <w:fldChar w:fldCharType="begin"/>
      </w:r>
      <w:r w:rsidRPr="00EE6DCB">
        <w:rPr>
          <w:rFonts w:asciiTheme="minorHAnsi" w:hAnsiTheme="minorHAnsi"/>
        </w:rPr>
        <w:instrText xml:space="preserve"> ADDIN EN.CITE &lt;EndNote&gt;&lt;Cite ExcludeAuth="1"&gt;&lt;Year&gt;2007&lt;/Year&gt;&lt;RecNum&gt;974&lt;/RecNum&gt;&lt;DisplayText&gt;(2007)&lt;/DisplayText&gt;&lt;record&gt;&lt;rec-number&gt;974&lt;/rec-number&gt;&lt;foreign-keys&gt;&lt;key app="EN" db-id="xadxfaf25adtz5eda2apf5tuxe0s92vdv5ws"&gt;974&lt;/key&gt;&lt;/foreign-keys&gt;&lt;ref-type name="Journal Article"&gt;17&lt;/ref-type&gt;&lt;contributors&gt;&lt;authors&gt;&lt;author&gt;Rosselló, Josep&lt;/author&gt;&lt;author&gt;Lázaro, Amparo&lt;/author&gt;&lt;author&gt;Cosín, Raúl&lt;/author&gt;&lt;author&gt;Molins, Arántzazu&lt;/author&gt;&lt;/authors&gt;&lt;/contributors&gt;&lt;titles&gt;&lt;title&gt;&lt;style face="normal" font="default" size="100%"&gt;A phylogeographic split in &lt;/style&gt;&lt;style face="italic" font="default" size="100%"&gt;Buxus balearica&lt;/style&gt;&lt;style face="normal" font="default" size="100%"&gt; (Buxaceae) as evidenced by nuclear ribosomal markers: when ITS paralogues are welcome&lt;/style&gt;&lt;/title&gt;&lt;secondary-title&gt;Journal of Molecular Evolution&lt;/secondary-title&gt;&lt;/titles&gt;&lt;periodical&gt;&lt;full-title&gt;Journal of Molecular Evolution&lt;/full-title&gt;&lt;abbr-1&gt;J. Mol. Evol.&lt;/abbr-1&gt;&lt;abbr-2&gt;J Mol Evol&lt;/abbr-2&gt;&lt;/periodical&gt;&lt;pages&gt;143-157&lt;/pages&gt;&lt;volume&gt;64&lt;/volume&gt;&lt;number&gt;2&lt;/number&gt;&lt;keywords&gt;&lt;keyword&gt;Biomedical and Life Sciences&lt;/keyword&gt;&lt;/keywords&gt;&lt;dates&gt;&lt;year&gt;2007&lt;/year&gt;&lt;/dates&gt;&lt;publisher&gt;Springer New York&lt;/publisher&gt;&lt;label&gt;ITS&lt;/label&gt;&lt;urls&gt;&lt;related-urls&gt;&lt;url&gt;http://dx.doi.org/10.1007/s00239-005-0113-4 &lt;/url&gt;&lt;/related-urls&gt;&lt;/urls&gt;&lt;/record&gt;&lt;/Cite&gt;&lt;/EndNote&gt;</w:instrText>
      </w:r>
      <w:r w:rsidRPr="00EE6DCB">
        <w:rPr>
          <w:rFonts w:asciiTheme="minorHAnsi" w:hAnsiTheme="minorHAnsi"/>
        </w:rPr>
        <w:fldChar w:fldCharType="separate"/>
      </w:r>
      <w:r w:rsidRPr="00EE6DCB">
        <w:rPr>
          <w:rFonts w:asciiTheme="minorHAnsi" w:hAnsiTheme="minorHAnsi"/>
          <w:noProof/>
        </w:rPr>
        <w:t>(</w:t>
      </w:r>
      <w:hyperlink w:anchor="_ENREF_51" w:tooltip="Rosselló, 2007 #974" w:history="1">
        <w:r w:rsidRPr="00EE6DCB">
          <w:rPr>
            <w:rFonts w:asciiTheme="minorHAnsi" w:hAnsiTheme="minorHAnsi"/>
            <w:noProof/>
          </w:rPr>
          <w:t>2007</w:t>
        </w:r>
      </w:hyperlink>
      <w:r w:rsidRPr="00EE6DCB">
        <w:rPr>
          <w:rFonts w:asciiTheme="minorHAnsi" w:hAnsiTheme="minorHAnsi"/>
          <w:noProof/>
        </w:rPr>
        <w:t>)</w:t>
      </w:r>
      <w:r w:rsidRPr="00EE6DCB">
        <w:rPr>
          <w:rFonts w:asciiTheme="minorHAnsi" w:hAnsiTheme="minorHAnsi"/>
        </w:rPr>
        <w:fldChar w:fldCharType="end"/>
      </w:r>
      <w:r w:rsidRPr="00EE6DCB">
        <w:rPr>
          <w:rFonts w:asciiTheme="minorHAnsi" w:hAnsiTheme="minorHAnsi"/>
        </w:rPr>
        <w:t xml:space="preserve"> and </w:t>
      </w:r>
      <w:proofErr w:type="spellStart"/>
      <w:r w:rsidRPr="00EE6DCB">
        <w:rPr>
          <w:rFonts w:asciiTheme="minorHAnsi" w:hAnsiTheme="minorHAnsi"/>
        </w:rPr>
        <w:t>Yamaji</w:t>
      </w:r>
      <w:proofErr w:type="spellEnd"/>
      <w:r w:rsidRPr="00EE6DCB">
        <w:rPr>
          <w:rFonts w:asciiTheme="minorHAnsi" w:hAnsiTheme="minorHAnsi"/>
        </w:rPr>
        <w:t xml:space="preserve"> </w:t>
      </w:r>
      <w:r w:rsidRPr="00EE6DCB">
        <w:rPr>
          <w:rFonts w:asciiTheme="minorHAnsi" w:hAnsiTheme="minorHAnsi"/>
          <w:i/>
        </w:rPr>
        <w:t>et al.</w:t>
      </w:r>
      <w:r w:rsidRPr="00EE6DCB">
        <w:rPr>
          <w:rFonts w:asciiTheme="minorHAnsi" w:hAnsiTheme="minorHAnsi"/>
        </w:rPr>
        <w:t xml:space="preserve"> </w:t>
      </w:r>
      <w:r w:rsidRPr="00EE6DCB">
        <w:rPr>
          <w:rFonts w:asciiTheme="minorHAnsi" w:hAnsiTheme="minorHAnsi"/>
        </w:rPr>
        <w:fldChar w:fldCharType="begin"/>
      </w:r>
      <w:r w:rsidRPr="00EE6DCB">
        <w:rPr>
          <w:rFonts w:asciiTheme="minorHAnsi" w:hAnsiTheme="minorHAnsi"/>
        </w:rPr>
        <w:instrText xml:space="preserve"> ADDIN EN.CITE &lt;EndNote&gt;&lt;Cite ExcludeAuth="1"&gt;&lt;Year&gt;2007&lt;/Year&gt;&lt;RecNum&gt;1179&lt;/RecNum&gt;&lt;DisplayText&gt;(2007)&lt;/DisplayText&gt;&lt;record&gt;&lt;rec-number&gt;1179&lt;/rec-number&gt;&lt;foreign-keys&gt;&lt;key app="EN" db-id="xadxfaf25adtz5eda2apf5tuxe0s92vdv5ws"&gt;1179&lt;/key&gt;&lt;/foreign-keys&gt;&lt;ref-type name="Journal Article"&gt;17&lt;/ref-type&gt;&lt;contributors&gt;&lt;authors&gt;&lt;author&gt;Yamaji, Hiroki&lt;/author&gt;&lt;author&gt;Fukuda, Tatsuya&lt;/author&gt;&lt;author&gt;Yokoyama, Jun&lt;/author&gt;&lt;author&gt;Pak, Jae&lt;/author&gt;&lt;author&gt;Zhou, Chang&lt;/author&gt;&lt;author&gt;Yang, Chun&lt;/author&gt;&lt;author&gt;Kondo, Kenji&lt;/author&gt;&lt;author&gt;Morota, Takashi&lt;/author&gt;&lt;author&gt;Takeda, Shuichi&lt;/author&gt;&lt;author&gt;Sasaki, Hiroshi&lt;/author&gt;&lt;author&gt;Maki, Masayuki&lt;/author&gt;&lt;/authors&gt;&lt;/contributors&gt;&lt;titles&gt;&lt;title&gt;&lt;style face="normal" font="default" size="100%"&gt;Reticulate evolution and phylogeography in &lt;/style&gt;&lt;style face="italic" font="default" size="100%"&gt;Asarum&lt;/style&gt;&lt;style face="normal" font="default" size="100%"&gt; sect. &lt;/style&gt;&lt;style face="italic" font="default" size="100%"&gt;Asiasarum&lt;/style&gt;&lt;style face="normal" font="default" size="100%"&gt; (Aristolochiaceae) documented in internal transcribed spacer sequences (ITS) of nuclear ribosomal DNA&lt;/style&gt;&lt;/title&gt;&lt;secondary-title&gt;Molecular Phylogenetics and Evolution&lt;/secondary-title&gt;&lt;/titles&gt;&lt;periodical&gt;&lt;full-title&gt;Molecular Phylogenetics and Evolution&lt;/full-title&gt;&lt;abbr-1&gt;Mol. Phylogenet. Evol.&lt;/abbr-1&gt;&lt;abbr-2&gt;Mol Phylogenet Evol&lt;/abbr-2&gt;&lt;abbr-3&gt;Molecular Phylogenetics &amp;amp; Evolution&lt;/abbr-3&gt;&lt;/periodical&gt;&lt;pages&gt;863-884&lt;/pages&gt;&lt;volume&gt;44&lt;/volume&gt;&lt;number&gt;2&lt;/number&gt;&lt;keywords&gt;&lt;keyword&gt;Aristolochiaceae&lt;/keyword&gt;&lt;keyword&gt;Biogeography&lt;/keyword&gt;&lt;keyword&gt;Colonisation/migration&lt;/keyword&gt;&lt;keyword&gt;East Asia&lt;/keyword&gt;&lt;keyword&gt;Reticulate evolution&lt;/keyword&gt;&lt;/keywords&gt;&lt;dates&gt;&lt;year&gt;2007&lt;/year&gt;&lt;/dates&gt;&lt;label&gt;ITS&lt;/label&gt;&lt;urls&gt;&lt;related-urls&gt;&lt;url&gt;http://www.sciencedirect.com/science/article/B6WNH-4N2D2TM-4/2/d4461fb17bb0ac4518bf8e9e1327775f &lt;/url&gt;&lt;/related-urls&gt;&lt;/urls&gt;&lt;/record&gt;&lt;/Cite&gt;&lt;/EndNote&gt;</w:instrText>
      </w:r>
      <w:r w:rsidRPr="00EE6DCB">
        <w:rPr>
          <w:rFonts w:asciiTheme="minorHAnsi" w:hAnsiTheme="minorHAnsi"/>
        </w:rPr>
        <w:fldChar w:fldCharType="separate"/>
      </w:r>
      <w:r w:rsidRPr="00EE6DCB">
        <w:rPr>
          <w:rFonts w:asciiTheme="minorHAnsi" w:hAnsiTheme="minorHAnsi"/>
          <w:noProof/>
        </w:rPr>
        <w:t>(</w:t>
      </w:r>
      <w:hyperlink w:anchor="_ENREF_71" w:tooltip="Yamaji, 2007 #1179" w:history="1">
        <w:r w:rsidRPr="00EE6DCB">
          <w:rPr>
            <w:rFonts w:asciiTheme="minorHAnsi" w:hAnsiTheme="minorHAnsi"/>
            <w:noProof/>
          </w:rPr>
          <w:t>2007</w:t>
        </w:r>
      </w:hyperlink>
      <w:r w:rsidRPr="00EE6DCB">
        <w:rPr>
          <w:rFonts w:asciiTheme="minorHAnsi" w:hAnsiTheme="minorHAnsi"/>
          <w:noProof/>
        </w:rPr>
        <w:t>)</w:t>
      </w:r>
      <w:r w:rsidRPr="00EE6DCB">
        <w:rPr>
          <w:rFonts w:asciiTheme="minorHAnsi" w:hAnsiTheme="minorHAnsi"/>
        </w:rPr>
        <w:fldChar w:fldCharType="end"/>
      </w:r>
      <w:r w:rsidRPr="00EE6DCB">
        <w:rPr>
          <w:rFonts w:asciiTheme="minorHAnsi" w:hAnsiTheme="minorHAnsi"/>
        </w:rPr>
        <w:t xml:space="preserve"> (Table </w:t>
      </w:r>
      <w:r w:rsidR="00415088">
        <w:rPr>
          <w:rFonts w:asciiTheme="minorHAnsi" w:hAnsiTheme="minorHAnsi"/>
        </w:rPr>
        <w:t>S</w:t>
      </w:r>
      <w:r w:rsidRPr="00EE6DCB">
        <w:rPr>
          <w:rFonts w:asciiTheme="minorHAnsi" w:hAnsiTheme="minorHAnsi"/>
        </w:rPr>
        <w:t>2</w:t>
      </w:r>
      <w:r w:rsidR="00F03C2A">
        <w:rPr>
          <w:rFonts w:asciiTheme="minorHAnsi" w:hAnsiTheme="minorHAnsi"/>
        </w:rPr>
        <w:t>.1</w:t>
      </w:r>
      <w:r w:rsidRPr="00EE6DCB">
        <w:rPr>
          <w:rFonts w:asciiTheme="minorHAnsi" w:hAnsiTheme="minorHAnsi"/>
        </w:rPr>
        <w:t>).</w:t>
      </w:r>
    </w:p>
    <w:p w:rsidR="005007CD" w:rsidRDefault="005007CD" w:rsidP="005007CD">
      <w:pPr>
        <w:pStyle w:val="NormalWeb"/>
        <w:spacing w:after="0" w:line="360" w:lineRule="auto"/>
        <w:jc w:val="both"/>
        <w:rPr>
          <w:b/>
        </w:rPr>
      </w:pPr>
    </w:p>
    <w:p w:rsidR="00F03C2A" w:rsidRPr="00D72C91" w:rsidRDefault="00F03C2A" w:rsidP="00F03C2A">
      <w:r w:rsidRPr="00D72C91">
        <w:rPr>
          <w:b/>
        </w:rPr>
        <w:t xml:space="preserve">Table </w:t>
      </w:r>
      <w:r>
        <w:rPr>
          <w:b/>
        </w:rPr>
        <w:t>S2.1</w:t>
      </w:r>
      <w:r w:rsidRPr="00D72C91">
        <w:t xml:space="preserve"> Comparison of intra-individual site polymorphisms detected from direct-</w:t>
      </w:r>
      <w:proofErr w:type="spellStart"/>
      <w:r w:rsidRPr="00D72C91">
        <w:t>PCR</w:t>
      </w:r>
      <w:proofErr w:type="spellEnd"/>
      <w:r w:rsidRPr="00D72C91">
        <w:t xml:space="preserve"> sequencing versus cloning across multiple sequences from three plant taxa. The number of samples and number of clones per sample are shown in brackets.</w:t>
      </w:r>
    </w:p>
    <w:tbl>
      <w:tblPr>
        <w:tblStyle w:val="TableGrid"/>
        <w:tblW w:w="10145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021"/>
        <w:gridCol w:w="1243"/>
        <w:gridCol w:w="286"/>
        <w:gridCol w:w="1724"/>
        <w:gridCol w:w="1018"/>
        <w:gridCol w:w="235"/>
        <w:gridCol w:w="1403"/>
        <w:gridCol w:w="1390"/>
      </w:tblGrid>
      <w:tr w:rsidR="00F03C2A" w:rsidTr="005007CD">
        <w:tc>
          <w:tcPr>
            <w:tcW w:w="1825" w:type="dxa"/>
          </w:tcPr>
          <w:p w:rsidR="00F03C2A" w:rsidRDefault="00F03C2A" w:rsidP="0002284A"/>
        </w:tc>
        <w:tc>
          <w:tcPr>
            <w:tcW w:w="8320" w:type="dxa"/>
            <w:gridSpan w:val="8"/>
            <w:tcBorders>
              <w:bottom w:val="single" w:sz="4" w:space="0" w:color="auto"/>
            </w:tcBorders>
          </w:tcPr>
          <w:p w:rsidR="00F03C2A" w:rsidRDefault="00F03C2A" w:rsidP="0002284A">
            <w:pPr>
              <w:jc w:val="center"/>
            </w:pPr>
            <w:r>
              <w:t>Direct sequences</w:t>
            </w:r>
          </w:p>
        </w:tc>
      </w:tr>
      <w:tr w:rsidR="00F03C2A" w:rsidTr="005007CD">
        <w:tc>
          <w:tcPr>
            <w:tcW w:w="1825" w:type="dxa"/>
          </w:tcPr>
          <w:p w:rsidR="00F03C2A" w:rsidRDefault="00F03C2A" w:rsidP="0002284A"/>
        </w:tc>
        <w:tc>
          <w:tcPr>
            <w:tcW w:w="22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C2A" w:rsidRDefault="00F03C2A" w:rsidP="0002284A">
            <w:pPr>
              <w:jc w:val="center"/>
              <w:rPr>
                <w:i/>
              </w:rPr>
            </w:pPr>
            <w:r w:rsidRPr="007722E6">
              <w:rPr>
                <w:i/>
              </w:rPr>
              <w:t>Nymania capensis</w:t>
            </w:r>
          </w:p>
          <w:p w:rsidR="00F03C2A" w:rsidRDefault="00F03C2A" w:rsidP="0002284A">
            <w:pPr>
              <w:jc w:val="center"/>
            </w:pPr>
            <w:r>
              <w:t xml:space="preserve"> (8;8)</w:t>
            </w:r>
          </w:p>
        </w:tc>
        <w:tc>
          <w:tcPr>
            <w:tcW w:w="286" w:type="dxa"/>
            <w:tcBorders>
              <w:top w:val="single" w:sz="4" w:space="0" w:color="auto"/>
            </w:tcBorders>
          </w:tcPr>
          <w:p w:rsidR="00F03C2A" w:rsidRDefault="00F03C2A" w:rsidP="0002284A">
            <w:pPr>
              <w:jc w:val="center"/>
            </w:pPr>
          </w:p>
        </w:tc>
        <w:tc>
          <w:tcPr>
            <w:tcW w:w="27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C2A" w:rsidRDefault="00F03C2A" w:rsidP="0002284A">
            <w:pPr>
              <w:jc w:val="center"/>
            </w:pPr>
            <w:r w:rsidRPr="007722E6">
              <w:rPr>
                <w:i/>
              </w:rPr>
              <w:t>Buxus balearica</w:t>
            </w:r>
            <w:r w:rsidRPr="007722E6">
              <w:rPr>
                <w:vertAlign w:val="superscript"/>
              </w:rPr>
              <w:t>1</w:t>
            </w:r>
            <w:r w:rsidRPr="007722E6">
              <w:t xml:space="preserve"> </w:t>
            </w:r>
          </w:p>
          <w:p w:rsidR="00F03C2A" w:rsidRDefault="00F03C2A" w:rsidP="0002284A">
            <w:pPr>
              <w:jc w:val="center"/>
            </w:pPr>
            <w:r w:rsidRPr="007722E6">
              <w:t>(5; 3-11)</w:t>
            </w: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F03C2A" w:rsidRDefault="00F03C2A" w:rsidP="0002284A">
            <w:pPr>
              <w:jc w:val="center"/>
            </w:pPr>
          </w:p>
        </w:tc>
        <w:tc>
          <w:tcPr>
            <w:tcW w:w="2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C2A" w:rsidRDefault="00F03C2A" w:rsidP="0002284A">
            <w:pPr>
              <w:jc w:val="center"/>
              <w:rPr>
                <w:vertAlign w:val="superscript"/>
              </w:rPr>
            </w:pPr>
            <w:proofErr w:type="spellStart"/>
            <w:r w:rsidRPr="007722E6">
              <w:rPr>
                <w:i/>
              </w:rPr>
              <w:t>Asarum</w:t>
            </w:r>
            <w:proofErr w:type="spellEnd"/>
            <w:r w:rsidRPr="007722E6">
              <w:rPr>
                <w:i/>
              </w:rPr>
              <w:t xml:space="preserve"> sect. Asiasarum</w:t>
            </w:r>
            <w:r w:rsidRPr="007722E6">
              <w:rPr>
                <w:vertAlign w:val="superscript"/>
              </w:rPr>
              <w:t>2</w:t>
            </w:r>
          </w:p>
          <w:p w:rsidR="00F03C2A" w:rsidRDefault="00F03C2A" w:rsidP="0002284A">
            <w:pPr>
              <w:jc w:val="center"/>
            </w:pPr>
            <w:r w:rsidRPr="007722E6">
              <w:t>(30; 13-31)</w:t>
            </w:r>
          </w:p>
        </w:tc>
      </w:tr>
      <w:tr w:rsidR="00F03C2A" w:rsidTr="005007CD">
        <w:tc>
          <w:tcPr>
            <w:tcW w:w="1825" w:type="dxa"/>
            <w:tcBorders>
              <w:bottom w:val="single" w:sz="4" w:space="0" w:color="auto"/>
            </w:tcBorders>
          </w:tcPr>
          <w:p w:rsidR="00F03C2A" w:rsidRDefault="00F03C2A" w:rsidP="0002284A">
            <w:r>
              <w:t>Clone sequences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:rsidR="00F03C2A" w:rsidRDefault="00F03C2A" w:rsidP="0002284A">
            <w:pPr>
              <w:jc w:val="center"/>
            </w:pPr>
            <w:r>
              <w:t>Present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:rsidR="00F03C2A" w:rsidRDefault="00F03C2A" w:rsidP="0002284A">
            <w:pPr>
              <w:jc w:val="center"/>
            </w:pPr>
            <w:r>
              <w:t>Absent</w:t>
            </w:r>
          </w:p>
        </w:tc>
        <w:tc>
          <w:tcPr>
            <w:tcW w:w="286" w:type="dxa"/>
            <w:tcBorders>
              <w:bottom w:val="single" w:sz="4" w:space="0" w:color="auto"/>
            </w:tcBorders>
          </w:tcPr>
          <w:p w:rsidR="00F03C2A" w:rsidRDefault="00F03C2A" w:rsidP="0002284A">
            <w:pPr>
              <w:jc w:val="center"/>
            </w:pPr>
          </w:p>
        </w:tc>
        <w:tc>
          <w:tcPr>
            <w:tcW w:w="1724" w:type="dxa"/>
            <w:tcBorders>
              <w:bottom w:val="single" w:sz="4" w:space="0" w:color="auto"/>
            </w:tcBorders>
          </w:tcPr>
          <w:p w:rsidR="00F03C2A" w:rsidRDefault="00F03C2A" w:rsidP="0002284A">
            <w:pPr>
              <w:jc w:val="center"/>
            </w:pPr>
            <w:r>
              <w:t>Present</w:t>
            </w: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F03C2A" w:rsidRDefault="00F03C2A" w:rsidP="0002284A">
            <w:pPr>
              <w:jc w:val="center"/>
            </w:pPr>
            <w:r>
              <w:t>Absent</w:t>
            </w: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:rsidR="00F03C2A" w:rsidRDefault="00F03C2A" w:rsidP="0002284A">
            <w:pPr>
              <w:jc w:val="center"/>
            </w:pPr>
          </w:p>
        </w:tc>
        <w:tc>
          <w:tcPr>
            <w:tcW w:w="1403" w:type="dxa"/>
            <w:tcBorders>
              <w:bottom w:val="single" w:sz="4" w:space="0" w:color="auto"/>
            </w:tcBorders>
          </w:tcPr>
          <w:p w:rsidR="00F03C2A" w:rsidRDefault="00F03C2A" w:rsidP="0002284A">
            <w:pPr>
              <w:jc w:val="center"/>
            </w:pPr>
            <w:r>
              <w:t>Present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F03C2A" w:rsidRDefault="00F03C2A" w:rsidP="0002284A">
            <w:pPr>
              <w:jc w:val="center"/>
            </w:pPr>
            <w:r>
              <w:t>Absent</w:t>
            </w:r>
          </w:p>
        </w:tc>
      </w:tr>
      <w:tr w:rsidR="00F03C2A" w:rsidTr="005007CD">
        <w:tc>
          <w:tcPr>
            <w:tcW w:w="1825" w:type="dxa"/>
            <w:tcBorders>
              <w:top w:val="single" w:sz="4" w:space="0" w:color="auto"/>
            </w:tcBorders>
          </w:tcPr>
          <w:p w:rsidR="00F03C2A" w:rsidRDefault="00F03C2A" w:rsidP="0002284A">
            <w:r>
              <w:t>Present</w:t>
            </w:r>
          </w:p>
        </w:tc>
        <w:tc>
          <w:tcPr>
            <w:tcW w:w="1021" w:type="dxa"/>
            <w:tcBorders>
              <w:top w:val="single" w:sz="4" w:space="0" w:color="auto"/>
            </w:tcBorders>
          </w:tcPr>
          <w:p w:rsidR="00F03C2A" w:rsidRDefault="00F03C2A" w:rsidP="0002284A">
            <w:pPr>
              <w:jc w:val="center"/>
            </w:pPr>
            <w:r>
              <w:t>69</w:t>
            </w:r>
          </w:p>
        </w:tc>
        <w:tc>
          <w:tcPr>
            <w:tcW w:w="1243" w:type="dxa"/>
            <w:tcBorders>
              <w:top w:val="single" w:sz="4" w:space="0" w:color="auto"/>
            </w:tcBorders>
          </w:tcPr>
          <w:p w:rsidR="00F03C2A" w:rsidRDefault="00F03C2A" w:rsidP="0002284A">
            <w:pPr>
              <w:jc w:val="center"/>
            </w:pPr>
            <w:r>
              <w:t>20</w:t>
            </w:r>
          </w:p>
        </w:tc>
        <w:tc>
          <w:tcPr>
            <w:tcW w:w="286" w:type="dxa"/>
            <w:tcBorders>
              <w:top w:val="single" w:sz="4" w:space="0" w:color="auto"/>
            </w:tcBorders>
          </w:tcPr>
          <w:p w:rsidR="00F03C2A" w:rsidRDefault="00F03C2A" w:rsidP="0002284A">
            <w:pPr>
              <w:jc w:val="center"/>
            </w:pPr>
          </w:p>
        </w:tc>
        <w:tc>
          <w:tcPr>
            <w:tcW w:w="1724" w:type="dxa"/>
            <w:tcBorders>
              <w:top w:val="single" w:sz="4" w:space="0" w:color="auto"/>
            </w:tcBorders>
          </w:tcPr>
          <w:p w:rsidR="00F03C2A" w:rsidRDefault="00F03C2A" w:rsidP="0002284A">
            <w:pPr>
              <w:jc w:val="center"/>
            </w:pPr>
            <w:r>
              <w:t>29</w:t>
            </w:r>
          </w:p>
        </w:tc>
        <w:tc>
          <w:tcPr>
            <w:tcW w:w="1018" w:type="dxa"/>
            <w:tcBorders>
              <w:top w:val="single" w:sz="4" w:space="0" w:color="auto"/>
            </w:tcBorders>
          </w:tcPr>
          <w:p w:rsidR="00F03C2A" w:rsidRDefault="00F03C2A" w:rsidP="0002284A">
            <w:pPr>
              <w:jc w:val="center"/>
            </w:pPr>
            <w:r>
              <w:t>4</w:t>
            </w: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F03C2A" w:rsidRDefault="00F03C2A" w:rsidP="0002284A">
            <w:pPr>
              <w:jc w:val="center"/>
            </w:pPr>
          </w:p>
        </w:tc>
        <w:tc>
          <w:tcPr>
            <w:tcW w:w="1403" w:type="dxa"/>
            <w:tcBorders>
              <w:top w:val="single" w:sz="4" w:space="0" w:color="auto"/>
            </w:tcBorders>
          </w:tcPr>
          <w:p w:rsidR="00F03C2A" w:rsidRDefault="00F03C2A" w:rsidP="0002284A">
            <w:pPr>
              <w:jc w:val="center"/>
            </w:pPr>
            <w:r>
              <w:t>177</w:t>
            </w:r>
          </w:p>
        </w:tc>
        <w:tc>
          <w:tcPr>
            <w:tcW w:w="1390" w:type="dxa"/>
            <w:tcBorders>
              <w:top w:val="single" w:sz="4" w:space="0" w:color="auto"/>
            </w:tcBorders>
          </w:tcPr>
          <w:p w:rsidR="00F03C2A" w:rsidRDefault="00F03C2A" w:rsidP="0002284A">
            <w:pPr>
              <w:jc w:val="center"/>
            </w:pPr>
            <w:r>
              <w:t>54</w:t>
            </w:r>
          </w:p>
        </w:tc>
      </w:tr>
      <w:tr w:rsidR="00F03C2A" w:rsidRPr="004C750E" w:rsidTr="005007CD">
        <w:tc>
          <w:tcPr>
            <w:tcW w:w="1825" w:type="dxa"/>
            <w:tcBorders>
              <w:bottom w:val="single" w:sz="4" w:space="0" w:color="auto"/>
            </w:tcBorders>
          </w:tcPr>
          <w:p w:rsidR="00F03C2A" w:rsidRPr="004C750E" w:rsidRDefault="00F03C2A" w:rsidP="0002284A">
            <w:r w:rsidRPr="004C750E">
              <w:t>Absent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:rsidR="00F03C2A" w:rsidRPr="004C750E" w:rsidRDefault="00F03C2A" w:rsidP="0002284A">
            <w:pPr>
              <w:jc w:val="center"/>
            </w:pPr>
            <w:r w:rsidRPr="004C750E">
              <w:t>4</w:t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F03C2A" w:rsidRPr="004C750E" w:rsidRDefault="00F03C2A" w:rsidP="0002284A">
            <w:pPr>
              <w:jc w:val="center"/>
            </w:pPr>
            <w:r w:rsidRPr="004C750E">
              <w:t>-</w:t>
            </w:r>
          </w:p>
        </w:tc>
        <w:tc>
          <w:tcPr>
            <w:tcW w:w="286" w:type="dxa"/>
            <w:tcBorders>
              <w:bottom w:val="single" w:sz="4" w:space="0" w:color="auto"/>
            </w:tcBorders>
          </w:tcPr>
          <w:p w:rsidR="00F03C2A" w:rsidRPr="004C750E" w:rsidRDefault="00F03C2A" w:rsidP="0002284A">
            <w:pPr>
              <w:jc w:val="center"/>
            </w:pPr>
          </w:p>
        </w:tc>
        <w:tc>
          <w:tcPr>
            <w:tcW w:w="1724" w:type="dxa"/>
            <w:tcBorders>
              <w:bottom w:val="single" w:sz="4" w:space="0" w:color="auto"/>
            </w:tcBorders>
          </w:tcPr>
          <w:p w:rsidR="00F03C2A" w:rsidRPr="004C750E" w:rsidRDefault="00F03C2A" w:rsidP="0002284A">
            <w:pPr>
              <w:jc w:val="center"/>
            </w:pPr>
            <w:r w:rsidRPr="004C750E">
              <w:t>3</w:t>
            </w: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F03C2A" w:rsidRPr="004C750E" w:rsidRDefault="00F03C2A" w:rsidP="0002284A">
            <w:pPr>
              <w:jc w:val="center"/>
            </w:pPr>
            <w:r w:rsidRPr="004C750E">
              <w:t>-</w:t>
            </w: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:rsidR="00F03C2A" w:rsidRPr="004C750E" w:rsidRDefault="00F03C2A" w:rsidP="0002284A">
            <w:pPr>
              <w:jc w:val="center"/>
            </w:pPr>
          </w:p>
        </w:tc>
        <w:tc>
          <w:tcPr>
            <w:tcW w:w="1403" w:type="dxa"/>
            <w:tcBorders>
              <w:bottom w:val="single" w:sz="4" w:space="0" w:color="auto"/>
            </w:tcBorders>
          </w:tcPr>
          <w:p w:rsidR="00F03C2A" w:rsidRPr="004C750E" w:rsidRDefault="00F03C2A" w:rsidP="0002284A">
            <w:pPr>
              <w:jc w:val="center"/>
            </w:pPr>
            <w:r w:rsidRPr="004C750E">
              <w:t>1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F03C2A" w:rsidRPr="004C750E" w:rsidRDefault="00F03C2A" w:rsidP="0002284A">
            <w:pPr>
              <w:jc w:val="center"/>
            </w:pPr>
            <w:r w:rsidRPr="004C750E">
              <w:t>-</w:t>
            </w:r>
          </w:p>
        </w:tc>
      </w:tr>
    </w:tbl>
    <w:p w:rsidR="00F03C2A" w:rsidRPr="004C750E" w:rsidRDefault="00F03C2A" w:rsidP="00F03C2A">
      <w:r w:rsidRPr="004C750E">
        <w:rPr>
          <w:vertAlign w:val="superscript"/>
        </w:rPr>
        <w:t>1</w:t>
      </w:r>
      <w:r w:rsidRPr="004C750E">
        <w:t xml:space="preserve"> </w:t>
      </w:r>
      <w:proofErr w:type="spellStart"/>
      <w:r w:rsidRPr="004C750E">
        <w:t>Rossello</w:t>
      </w:r>
      <w:proofErr w:type="spellEnd"/>
      <w:r w:rsidRPr="004C750E">
        <w:t xml:space="preserve"> et al. (2007); </w:t>
      </w:r>
      <w:r w:rsidRPr="004C750E">
        <w:rPr>
          <w:vertAlign w:val="superscript"/>
        </w:rPr>
        <w:t>2</w:t>
      </w:r>
      <w:r w:rsidRPr="004C750E">
        <w:t xml:space="preserve"> </w:t>
      </w:r>
      <w:proofErr w:type="spellStart"/>
      <w:r w:rsidRPr="004C750E">
        <w:t>Yamaji</w:t>
      </w:r>
      <w:proofErr w:type="spellEnd"/>
      <w:r w:rsidRPr="004C750E">
        <w:t xml:space="preserve"> et al. (2007)</w:t>
      </w:r>
    </w:p>
    <w:p w:rsidR="00F03C2A" w:rsidRPr="00D72C91" w:rsidRDefault="00F03C2A" w:rsidP="00F03C2A">
      <w:pPr>
        <w:pStyle w:val="NormalWeb"/>
        <w:spacing w:after="0" w:line="360" w:lineRule="auto"/>
        <w:rPr>
          <w:rFonts w:asciiTheme="minorHAnsi" w:hAnsiTheme="minorHAnsi"/>
        </w:rPr>
      </w:pPr>
    </w:p>
    <w:p w:rsidR="007C590E" w:rsidRPr="007C590E" w:rsidRDefault="007C590E" w:rsidP="007C590E">
      <w:pPr>
        <w:pStyle w:val="NormalWeb"/>
        <w:spacing w:after="0" w:line="480" w:lineRule="auto"/>
        <w:rPr>
          <w:rFonts w:asciiTheme="minorHAnsi" w:hAnsiTheme="minorHAnsi"/>
        </w:rPr>
      </w:pPr>
    </w:p>
    <w:p w:rsidR="007C3299" w:rsidRDefault="007C3299" w:rsidP="007C590E">
      <w:pPr>
        <w:rPr>
          <w:lang w:val="en-GB"/>
        </w:rPr>
        <w:sectPr w:rsidR="007C3299" w:rsidSect="007C329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lang w:val="en-GB"/>
        </w:rPr>
        <w:br w:type="page"/>
      </w:r>
    </w:p>
    <w:p w:rsidR="007C3299" w:rsidRPr="00C937D4" w:rsidRDefault="00C937D4">
      <w:pPr>
        <w:rPr>
          <w:lang w:val="en-GB"/>
        </w:rPr>
      </w:pPr>
      <w:r>
        <w:rPr>
          <w:b/>
          <w:lang w:val="en-GB"/>
        </w:rPr>
        <w:lastRenderedPageBreak/>
        <w:t xml:space="preserve">Appendix S3 </w:t>
      </w:r>
      <w:r>
        <w:rPr>
          <w:lang w:val="en-GB"/>
        </w:rPr>
        <w:t>Additional results: DNA alignments and networks.</w:t>
      </w:r>
    </w:p>
    <w:p w:rsidR="002914AC" w:rsidRDefault="002914AC">
      <w:pPr>
        <w:rPr>
          <w:lang w:val="en-GB"/>
        </w:rPr>
      </w:pPr>
    </w:p>
    <w:p w:rsidR="001072EE" w:rsidRDefault="001072EE" w:rsidP="001072EE">
      <w:pPr>
        <w:rPr>
          <w:lang w:val="en-GB"/>
        </w:rPr>
      </w:pPr>
      <w:r w:rsidRPr="001072EE">
        <w:rPr>
          <w:b/>
          <w:lang w:val="en-GB"/>
        </w:rPr>
        <w:t>Table S</w:t>
      </w:r>
      <w:r w:rsidR="00C937D4">
        <w:rPr>
          <w:b/>
          <w:lang w:val="en-GB"/>
        </w:rPr>
        <w:t>3.</w:t>
      </w:r>
      <w:r w:rsidRPr="001072EE">
        <w:rPr>
          <w:b/>
          <w:lang w:val="en-GB"/>
        </w:rPr>
        <w:t>1</w:t>
      </w:r>
      <w:r>
        <w:rPr>
          <w:lang w:val="en-GB"/>
        </w:rPr>
        <w:t xml:space="preserve"> </w:t>
      </w:r>
      <w:r w:rsidRPr="000906A4">
        <w:rPr>
          <w:lang w:val="en-GB"/>
        </w:rPr>
        <w:t>Variable sites across the chloroplast DNA haplotypes from two gene</w:t>
      </w:r>
      <w:r>
        <w:rPr>
          <w:lang w:val="en-GB"/>
        </w:rPr>
        <w:t xml:space="preserve"> </w:t>
      </w:r>
      <w:r w:rsidRPr="000906A4">
        <w:rPr>
          <w:lang w:val="en-GB"/>
        </w:rPr>
        <w:t>regions</w:t>
      </w:r>
      <w:r>
        <w:rPr>
          <w:lang w:val="en-GB"/>
        </w:rPr>
        <w:t xml:space="preserve"> (</w:t>
      </w:r>
      <w:r w:rsidRPr="00FD4CB2">
        <w:rPr>
          <w:lang w:val="en-GB"/>
        </w:rPr>
        <w:t xml:space="preserve">trnQ-5´–rps16 and </w:t>
      </w:r>
      <w:proofErr w:type="spellStart"/>
      <w:r w:rsidRPr="00FD4CB2">
        <w:rPr>
          <w:lang w:val="en-GB"/>
        </w:rPr>
        <w:t>atpI</w:t>
      </w:r>
      <w:proofErr w:type="spellEnd"/>
      <w:r w:rsidRPr="00FD4CB2">
        <w:rPr>
          <w:lang w:val="en-GB"/>
        </w:rPr>
        <w:t>–</w:t>
      </w:r>
      <w:proofErr w:type="spellStart"/>
      <w:r w:rsidRPr="00FD4CB2">
        <w:rPr>
          <w:lang w:val="en-GB"/>
        </w:rPr>
        <w:t>atpH</w:t>
      </w:r>
      <w:proofErr w:type="spellEnd"/>
      <w:r>
        <w:rPr>
          <w:lang w:val="en-GB"/>
        </w:rPr>
        <w:t>)</w:t>
      </w:r>
      <w:r w:rsidRPr="000906A4">
        <w:rPr>
          <w:lang w:val="en-GB"/>
        </w:rPr>
        <w:t xml:space="preserve"> of </w:t>
      </w:r>
      <w:r w:rsidRPr="000906A4">
        <w:rPr>
          <w:i/>
          <w:lang w:val="en-GB"/>
        </w:rPr>
        <w:t>Nymania capensis</w:t>
      </w:r>
      <w:r w:rsidRPr="000906A4">
        <w:rPr>
          <w:lang w:val="en-GB"/>
        </w:rPr>
        <w:t xml:space="preserve"> accessions. All sequences are compared to</w:t>
      </w:r>
      <w:r>
        <w:rPr>
          <w:lang w:val="en-GB"/>
        </w:rPr>
        <w:t xml:space="preserve"> </w:t>
      </w:r>
      <w:r w:rsidRPr="000906A4">
        <w:rPr>
          <w:lang w:val="en-GB"/>
        </w:rPr>
        <w:t>the reference haplotype A.</w:t>
      </w:r>
      <w:r>
        <w:rPr>
          <w:lang w:val="en-GB"/>
        </w:rPr>
        <w:t xml:space="preserve"> The </w:t>
      </w:r>
      <w:proofErr w:type="gramStart"/>
      <w:r>
        <w:rPr>
          <w:lang w:val="en-GB"/>
        </w:rPr>
        <w:t>relationships between haplotypes is</w:t>
      </w:r>
      <w:proofErr w:type="gramEnd"/>
      <w:r>
        <w:rPr>
          <w:lang w:val="en-GB"/>
        </w:rPr>
        <w:t xml:space="preserve"> shown above in Fig. S2.</w:t>
      </w:r>
    </w:p>
    <w:p w:rsidR="001072EE" w:rsidRDefault="001072EE" w:rsidP="001072EE">
      <w:pPr>
        <w:jc w:val="center"/>
        <w:rPr>
          <w:lang w:val="en-GB"/>
        </w:rPr>
      </w:pPr>
      <w:r>
        <w:rPr>
          <w:noProof/>
          <w:lang w:eastAsia="en-ZA"/>
        </w:rPr>
        <w:drawing>
          <wp:inline distT="0" distB="0" distL="0" distR="0" wp14:anchorId="212A262A" wp14:editId="6906CD2E">
            <wp:extent cx="5943600" cy="3340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EE" w:rsidRPr="00FD4CB2" w:rsidRDefault="001072EE" w:rsidP="001072EE">
      <w:pPr>
        <w:rPr>
          <w:lang w:val="en-GB"/>
        </w:rPr>
      </w:pPr>
      <w:r w:rsidRPr="00FD4CB2">
        <w:rPr>
          <w:lang w:val="en-GB"/>
        </w:rPr>
        <w:t>Number ‘0/1’ in the sequences indicate the absence/presence of length polymorphisms whereby the</w:t>
      </w:r>
      <w:r>
        <w:rPr>
          <w:lang w:val="en-GB"/>
        </w:rPr>
        <w:t xml:space="preserve"> </w:t>
      </w:r>
      <w:r w:rsidRPr="00FD4CB2">
        <w:rPr>
          <w:lang w:val="en-GB"/>
        </w:rPr>
        <w:t xml:space="preserve">superscripts identify corresponding character states. </w:t>
      </w:r>
      <w:r>
        <w:rPr>
          <w:lang w:val="en-GB"/>
        </w:rPr>
        <w:t>N</w:t>
      </w:r>
      <w:r w:rsidRPr="00FD4CB2">
        <w:rPr>
          <w:lang w:val="en-GB"/>
        </w:rPr>
        <w:t>ote that poly-T stretches were excluded from</w:t>
      </w:r>
      <w:r>
        <w:rPr>
          <w:lang w:val="en-GB"/>
        </w:rPr>
        <w:t xml:space="preserve"> </w:t>
      </w:r>
      <w:r w:rsidRPr="00FD4CB2">
        <w:rPr>
          <w:lang w:val="en-GB"/>
        </w:rPr>
        <w:t>analyses.</w:t>
      </w:r>
    </w:p>
    <w:p w:rsidR="00E62606" w:rsidRDefault="001072EE" w:rsidP="001072EE">
      <w:pPr>
        <w:rPr>
          <w:lang w:val="en-GB"/>
        </w:rPr>
        <w:sectPr w:rsidR="00E62606" w:rsidSect="002914A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proofErr w:type="gramStart"/>
      <w:r w:rsidRPr="00FD4CB2">
        <w:rPr>
          <w:lang w:val="en-GB"/>
        </w:rPr>
        <w:t>a</w:t>
      </w:r>
      <w:proofErr w:type="gramEnd"/>
      <w:r w:rsidRPr="00FD4CB2">
        <w:rPr>
          <w:lang w:val="en-GB"/>
        </w:rPr>
        <w:t xml:space="preserve">, </w:t>
      </w:r>
      <w:proofErr w:type="spellStart"/>
      <w:r w:rsidRPr="00FD4CB2">
        <w:rPr>
          <w:lang w:val="en-GB"/>
        </w:rPr>
        <w:t>TAAGA</w:t>
      </w:r>
      <w:proofErr w:type="spellEnd"/>
      <w:r w:rsidRPr="00FD4CB2">
        <w:rPr>
          <w:lang w:val="en-GB"/>
        </w:rPr>
        <w:t xml:space="preserve">; b, </w:t>
      </w:r>
      <w:proofErr w:type="spellStart"/>
      <w:r w:rsidRPr="00FD4CB2">
        <w:rPr>
          <w:lang w:val="en-GB"/>
        </w:rPr>
        <w:t>AAT</w:t>
      </w:r>
      <w:proofErr w:type="spellEnd"/>
      <w:r w:rsidRPr="00FD4CB2">
        <w:rPr>
          <w:lang w:val="en-GB"/>
        </w:rPr>
        <w:t xml:space="preserve"> </w:t>
      </w:r>
    </w:p>
    <w:p w:rsidR="00E62606" w:rsidRDefault="00E62606" w:rsidP="00E62606">
      <w:pPr>
        <w:rPr>
          <w:lang w:val="en-GB"/>
        </w:rPr>
      </w:pPr>
      <w:r w:rsidRPr="001072EE">
        <w:rPr>
          <w:b/>
          <w:lang w:val="en-GB"/>
        </w:rPr>
        <w:lastRenderedPageBreak/>
        <w:t>Tabl</w:t>
      </w:r>
      <w:r>
        <w:rPr>
          <w:b/>
          <w:lang w:val="en-GB"/>
        </w:rPr>
        <w:t>e S</w:t>
      </w:r>
      <w:r w:rsidR="00C937D4">
        <w:rPr>
          <w:b/>
          <w:lang w:val="en-GB"/>
        </w:rPr>
        <w:t>3.</w:t>
      </w:r>
      <w:r>
        <w:rPr>
          <w:b/>
          <w:lang w:val="en-GB"/>
        </w:rPr>
        <w:t>2</w:t>
      </w:r>
      <w:r>
        <w:rPr>
          <w:lang w:val="en-GB"/>
        </w:rPr>
        <w:t xml:space="preserve"> </w:t>
      </w:r>
      <w:r w:rsidRPr="006121ED">
        <w:rPr>
          <w:lang w:val="en-GB"/>
        </w:rPr>
        <w:t>Variable sites in direct-</w:t>
      </w:r>
      <w:proofErr w:type="spellStart"/>
      <w:r w:rsidRPr="006121ED">
        <w:rPr>
          <w:lang w:val="en-GB"/>
        </w:rPr>
        <w:t>PCR</w:t>
      </w:r>
      <w:proofErr w:type="spellEnd"/>
      <w:r w:rsidRPr="006121ED">
        <w:rPr>
          <w:lang w:val="en-GB"/>
        </w:rPr>
        <w:t xml:space="preserve"> </w:t>
      </w:r>
      <w:proofErr w:type="spellStart"/>
      <w:r w:rsidRPr="006121ED">
        <w:rPr>
          <w:lang w:val="en-GB"/>
        </w:rPr>
        <w:t>ncpGS</w:t>
      </w:r>
      <w:proofErr w:type="spellEnd"/>
      <w:r w:rsidRPr="006121ED">
        <w:rPr>
          <w:lang w:val="en-GB"/>
        </w:rPr>
        <w:t xml:space="preserve"> sequences from </w:t>
      </w:r>
      <w:r w:rsidRPr="006121ED">
        <w:rPr>
          <w:i/>
          <w:lang w:val="en-GB"/>
        </w:rPr>
        <w:t>Nymania capensis</w:t>
      </w:r>
      <w:r>
        <w:rPr>
          <w:lang w:val="en-GB"/>
        </w:rPr>
        <w:t xml:space="preserve"> </w:t>
      </w:r>
      <w:r w:rsidRPr="006121ED">
        <w:rPr>
          <w:lang w:val="en-GB"/>
        </w:rPr>
        <w:t>accessions. All sequences are compared to the consensus sequence. Sequence</w:t>
      </w:r>
      <w:r>
        <w:rPr>
          <w:lang w:val="en-GB"/>
        </w:rPr>
        <w:t xml:space="preserve"> </w:t>
      </w:r>
      <w:r w:rsidRPr="006121ED">
        <w:rPr>
          <w:lang w:val="en-GB"/>
        </w:rPr>
        <w:t xml:space="preserve">polymorphisms follow </w:t>
      </w:r>
      <w:proofErr w:type="spellStart"/>
      <w:r w:rsidRPr="006121ED">
        <w:rPr>
          <w:lang w:val="en-GB"/>
        </w:rPr>
        <w:t>IUPAC</w:t>
      </w:r>
      <w:proofErr w:type="spellEnd"/>
      <w:r w:rsidRPr="006121ED">
        <w:rPr>
          <w:lang w:val="en-GB"/>
        </w:rPr>
        <w:t xml:space="preserve"> codes. Nucleotide positions refer to the aligned</w:t>
      </w:r>
      <w:r>
        <w:rPr>
          <w:lang w:val="en-GB"/>
        </w:rPr>
        <w:t xml:space="preserve"> </w:t>
      </w:r>
      <w:r w:rsidRPr="006121ED">
        <w:rPr>
          <w:lang w:val="en-GB"/>
        </w:rPr>
        <w:t>sequences in the dataset.</w:t>
      </w:r>
    </w:p>
    <w:p w:rsidR="00E62606" w:rsidRDefault="00E62606" w:rsidP="00E62606">
      <w:pPr>
        <w:jc w:val="center"/>
        <w:rPr>
          <w:lang w:val="en-GB"/>
        </w:rPr>
      </w:pPr>
      <w:r>
        <w:rPr>
          <w:noProof/>
          <w:lang w:eastAsia="en-ZA"/>
        </w:rPr>
        <w:drawing>
          <wp:inline distT="0" distB="0" distL="0" distR="0" wp14:anchorId="553BFC5F" wp14:editId="794DA1D3">
            <wp:extent cx="4730506" cy="264566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0506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06" w:rsidRDefault="00E62606" w:rsidP="001072EE">
      <w:pPr>
        <w:rPr>
          <w:lang w:val="en-GB"/>
        </w:rPr>
        <w:sectPr w:rsidR="00E62606" w:rsidSect="00E6260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D4CB9" w:rsidRDefault="00E62606" w:rsidP="00E73C68">
      <w:pPr>
        <w:rPr>
          <w:lang w:val="en-GB"/>
        </w:rPr>
      </w:pPr>
      <w:r>
        <w:rPr>
          <w:b/>
          <w:lang w:val="en-GB"/>
        </w:rPr>
        <w:lastRenderedPageBreak/>
        <w:t>Table S3</w:t>
      </w:r>
      <w:r w:rsidR="00C937D4">
        <w:rPr>
          <w:b/>
          <w:lang w:val="en-GB"/>
        </w:rPr>
        <w:t>.3</w:t>
      </w:r>
      <w:r w:rsidR="003D4CB9">
        <w:rPr>
          <w:lang w:val="en-GB"/>
        </w:rPr>
        <w:t xml:space="preserve"> </w:t>
      </w:r>
      <w:r w:rsidR="00E73C68" w:rsidRPr="00E73C68">
        <w:rPr>
          <w:lang w:val="en-GB"/>
        </w:rPr>
        <w:t>Variable sites in direct-</w:t>
      </w:r>
      <w:proofErr w:type="spellStart"/>
      <w:r w:rsidR="00E73C68" w:rsidRPr="00E73C68">
        <w:rPr>
          <w:lang w:val="en-GB"/>
        </w:rPr>
        <w:t>PCR</w:t>
      </w:r>
      <w:proofErr w:type="spellEnd"/>
      <w:r w:rsidR="00E73C68" w:rsidRPr="00E73C68">
        <w:rPr>
          <w:lang w:val="en-GB"/>
        </w:rPr>
        <w:t xml:space="preserve"> ribosomal ITS sequences from a subset of </w:t>
      </w:r>
      <w:r w:rsidR="00E73C68" w:rsidRPr="00E73C68">
        <w:rPr>
          <w:i/>
          <w:lang w:val="en-GB"/>
        </w:rPr>
        <w:t>Nymania capensis</w:t>
      </w:r>
      <w:r w:rsidR="00E73C68" w:rsidRPr="00E73C68">
        <w:rPr>
          <w:lang w:val="en-GB"/>
        </w:rPr>
        <w:t xml:space="preserve"> accessions.</w:t>
      </w:r>
      <w:r w:rsidR="00E73C68">
        <w:rPr>
          <w:lang w:val="en-GB"/>
        </w:rPr>
        <w:t xml:space="preserve"> </w:t>
      </w:r>
      <w:r w:rsidR="00E73C68" w:rsidRPr="00E73C68">
        <w:rPr>
          <w:lang w:val="en-GB"/>
        </w:rPr>
        <w:t>Five samples were selected at random from each ITS cluster to demonstrate the variability within and between the</w:t>
      </w:r>
      <w:r w:rsidR="00E73C68">
        <w:rPr>
          <w:lang w:val="en-GB"/>
        </w:rPr>
        <w:t xml:space="preserve"> </w:t>
      </w:r>
      <w:r w:rsidR="00E73C68" w:rsidRPr="00E73C68">
        <w:rPr>
          <w:lang w:val="en-GB"/>
        </w:rPr>
        <w:t>clusters. All sequences are compared to the reference consensus sequence. Intra-individual site polymorphisms (2ISPs)</w:t>
      </w:r>
      <w:r w:rsidR="00E73C68">
        <w:rPr>
          <w:lang w:val="en-GB"/>
        </w:rPr>
        <w:t xml:space="preserve"> </w:t>
      </w:r>
      <w:r w:rsidR="00E73C68" w:rsidRPr="00E73C68">
        <w:rPr>
          <w:lang w:val="en-GB"/>
        </w:rPr>
        <w:t xml:space="preserve">are coded using </w:t>
      </w:r>
      <w:proofErr w:type="spellStart"/>
      <w:r w:rsidR="00E73C68" w:rsidRPr="00E73C68">
        <w:rPr>
          <w:lang w:val="en-GB"/>
        </w:rPr>
        <w:t>IUPAC</w:t>
      </w:r>
      <w:proofErr w:type="spellEnd"/>
      <w:r w:rsidR="00E73C68" w:rsidRPr="00E73C68">
        <w:rPr>
          <w:lang w:val="en-GB"/>
        </w:rPr>
        <w:t xml:space="preserve"> nomenclature</w:t>
      </w:r>
      <w:r w:rsidR="00E73C68">
        <w:rPr>
          <w:lang w:val="en-GB"/>
        </w:rPr>
        <w:t xml:space="preserve"> with the exception that </w:t>
      </w:r>
      <w:r w:rsidR="00E73C68" w:rsidRPr="00E73C68">
        <w:rPr>
          <w:lang w:val="en-GB"/>
        </w:rPr>
        <w:t xml:space="preserve">2ISPs involving a base and an </w:t>
      </w:r>
      <w:proofErr w:type="spellStart"/>
      <w:r w:rsidR="00E73C68" w:rsidRPr="00E73C68">
        <w:rPr>
          <w:lang w:val="en-GB"/>
        </w:rPr>
        <w:t>indel</w:t>
      </w:r>
      <w:proofErr w:type="spellEnd"/>
      <w:r w:rsidR="00E73C68" w:rsidRPr="00E73C68">
        <w:rPr>
          <w:lang w:val="en-GB"/>
        </w:rPr>
        <w:t xml:space="preserve"> are coded using ‘X’.</w:t>
      </w:r>
    </w:p>
    <w:p w:rsidR="002914AC" w:rsidRDefault="002914AC" w:rsidP="0019402A">
      <w:pPr>
        <w:jc w:val="center"/>
        <w:rPr>
          <w:lang w:val="en-GB"/>
        </w:rPr>
      </w:pPr>
      <w:r>
        <w:rPr>
          <w:noProof/>
          <w:lang w:eastAsia="en-ZA"/>
        </w:rPr>
        <w:drawing>
          <wp:inline distT="0" distB="0" distL="0" distR="0" wp14:anchorId="356A9415" wp14:editId="54BFBA07">
            <wp:extent cx="8656166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616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665" w:rsidRDefault="00763665">
      <w:pPr>
        <w:rPr>
          <w:lang w:val="en-GB"/>
        </w:rPr>
        <w:sectPr w:rsidR="00763665" w:rsidSect="002914A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DD1638" w:rsidRPr="00DD1638" w:rsidRDefault="001072EE" w:rsidP="003D4CB9">
      <w:pPr>
        <w:rPr>
          <w:lang w:val="en-GB"/>
        </w:rPr>
      </w:pPr>
      <w:r w:rsidRPr="001072EE">
        <w:rPr>
          <w:b/>
          <w:lang w:val="en-GB"/>
        </w:rPr>
        <w:lastRenderedPageBreak/>
        <w:t>Table S</w:t>
      </w:r>
      <w:r w:rsidR="00C937D4">
        <w:rPr>
          <w:b/>
          <w:lang w:val="en-GB"/>
        </w:rPr>
        <w:t>3.</w:t>
      </w:r>
      <w:r w:rsidRPr="001072EE">
        <w:rPr>
          <w:b/>
          <w:lang w:val="en-GB"/>
        </w:rPr>
        <w:t>4</w:t>
      </w:r>
      <w:r w:rsidR="003D4CB9">
        <w:rPr>
          <w:lang w:val="en-GB"/>
        </w:rPr>
        <w:t xml:space="preserve"> </w:t>
      </w:r>
      <w:r w:rsidR="003D4CB9" w:rsidRPr="003D4CB9">
        <w:rPr>
          <w:lang w:val="en-GB"/>
        </w:rPr>
        <w:t>Comparison of variable sites between direct-</w:t>
      </w:r>
      <w:proofErr w:type="spellStart"/>
      <w:r w:rsidR="003D4CB9" w:rsidRPr="003D4CB9">
        <w:rPr>
          <w:lang w:val="en-GB"/>
        </w:rPr>
        <w:t>PCR</w:t>
      </w:r>
      <w:proofErr w:type="spellEnd"/>
      <w:r w:rsidR="003D4CB9" w:rsidRPr="003D4CB9">
        <w:rPr>
          <w:lang w:val="en-GB"/>
        </w:rPr>
        <w:t xml:space="preserve"> sequences and cloned sequences from eight </w:t>
      </w:r>
      <w:r w:rsidR="003D4CB9" w:rsidRPr="003D4CB9">
        <w:rPr>
          <w:i/>
          <w:lang w:val="en-GB"/>
        </w:rPr>
        <w:t>Nymania capensis accessions</w:t>
      </w:r>
      <w:r w:rsidR="003D4CB9" w:rsidRPr="003D4CB9">
        <w:rPr>
          <w:lang w:val="en-GB"/>
        </w:rPr>
        <w:t xml:space="preserve">. Intra-individual individual site polymorphisms are coded using </w:t>
      </w:r>
      <w:proofErr w:type="spellStart"/>
      <w:r w:rsidR="003D4CB9" w:rsidRPr="003D4CB9">
        <w:rPr>
          <w:lang w:val="en-GB"/>
        </w:rPr>
        <w:t>IUPAC</w:t>
      </w:r>
      <w:proofErr w:type="spellEnd"/>
      <w:r w:rsidR="003D4CB9" w:rsidRPr="003D4CB9">
        <w:rPr>
          <w:lang w:val="en-GB"/>
        </w:rPr>
        <w:t xml:space="preserve"> nomenclature, with</w:t>
      </w:r>
      <w:r w:rsidR="003D4CB9">
        <w:rPr>
          <w:lang w:val="en-GB"/>
        </w:rPr>
        <w:t xml:space="preserve"> </w:t>
      </w:r>
      <w:r w:rsidR="003D4CB9" w:rsidRPr="003D4CB9">
        <w:rPr>
          <w:lang w:val="en-GB"/>
        </w:rPr>
        <w:t>capital letters indicating complete overlap of bases in the trace ﬁle and small letters indicating one dominant base</w:t>
      </w:r>
      <w:r w:rsidR="003D4CB9">
        <w:rPr>
          <w:lang w:val="en-GB"/>
        </w:rPr>
        <w:t xml:space="preserve"> </w:t>
      </w:r>
      <w:r w:rsidR="003D4CB9" w:rsidRPr="003D4CB9">
        <w:rPr>
          <w:lang w:val="en-GB"/>
        </w:rPr>
        <w:t>dominant over another in the trace ﬁle. Intra-individual site polymorphisms detected in the direct sequences involving</w:t>
      </w:r>
      <w:r w:rsidR="003D4CB9">
        <w:rPr>
          <w:lang w:val="en-GB"/>
        </w:rPr>
        <w:t xml:space="preserve"> </w:t>
      </w:r>
      <w:r w:rsidR="003D4CB9" w:rsidRPr="003D4CB9">
        <w:rPr>
          <w:lang w:val="en-GB"/>
        </w:rPr>
        <w:t xml:space="preserve">a base and an </w:t>
      </w:r>
      <w:proofErr w:type="spellStart"/>
      <w:r w:rsidR="003D4CB9" w:rsidRPr="003D4CB9">
        <w:rPr>
          <w:lang w:val="en-GB"/>
        </w:rPr>
        <w:t>indel</w:t>
      </w:r>
      <w:proofErr w:type="spellEnd"/>
      <w:r w:rsidR="003D4CB9" w:rsidRPr="003D4CB9">
        <w:rPr>
          <w:lang w:val="en-GB"/>
        </w:rPr>
        <w:t xml:space="preserve"> are coded using ‘X’. Clone sequences are compared to the direct sequence from a given accession.</w:t>
      </w:r>
      <w:r w:rsidR="003D4CB9">
        <w:rPr>
          <w:lang w:val="en-GB"/>
        </w:rPr>
        <w:t xml:space="preserve"> </w:t>
      </w:r>
      <w:r w:rsidR="003D4CB9" w:rsidRPr="003D4CB9">
        <w:rPr>
          <w:lang w:val="en-GB"/>
        </w:rPr>
        <w:t xml:space="preserve">A dash (-) denotes a nucleotide </w:t>
      </w:r>
      <w:proofErr w:type="spellStart"/>
      <w:r w:rsidR="003D4CB9" w:rsidRPr="003D4CB9">
        <w:rPr>
          <w:lang w:val="en-GB"/>
        </w:rPr>
        <w:t>indel</w:t>
      </w:r>
      <w:proofErr w:type="spellEnd"/>
      <w:r w:rsidR="003D4CB9" w:rsidRPr="003D4CB9">
        <w:rPr>
          <w:lang w:val="en-GB"/>
        </w:rPr>
        <w:t xml:space="preserve"> that may be 1 to 5 bases in length.</w:t>
      </w:r>
    </w:p>
    <w:p w:rsidR="003D4CB9" w:rsidRDefault="008322D8" w:rsidP="008322D8">
      <w:pPr>
        <w:jc w:val="center"/>
      </w:pPr>
      <w:r>
        <w:rPr>
          <w:noProof/>
          <w:lang w:eastAsia="en-ZA"/>
        </w:rPr>
        <w:drawing>
          <wp:inline distT="0" distB="0" distL="0" distR="0" wp14:anchorId="635B1938" wp14:editId="38E3525C">
            <wp:extent cx="7757160" cy="42888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428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CB9" w:rsidRDefault="003D4CB9">
      <w:r w:rsidRPr="001072EE">
        <w:rPr>
          <w:b/>
        </w:rPr>
        <w:t>Table S</w:t>
      </w:r>
      <w:r w:rsidR="00C937D4">
        <w:rPr>
          <w:b/>
        </w:rPr>
        <w:t>3.</w:t>
      </w:r>
      <w:r w:rsidRPr="001072EE">
        <w:rPr>
          <w:b/>
        </w:rPr>
        <w:t>4</w:t>
      </w:r>
      <w:r>
        <w:t xml:space="preserve"> continued…</w:t>
      </w:r>
    </w:p>
    <w:p w:rsidR="001072EE" w:rsidRDefault="008322D8" w:rsidP="008322D8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 wp14:anchorId="03DB652C" wp14:editId="12C502FB">
            <wp:extent cx="7841804" cy="4959774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106" cy="496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EE" w:rsidRDefault="001072EE">
      <w:pPr>
        <w:sectPr w:rsidR="001072EE" w:rsidSect="002914A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:rsidR="001072EE" w:rsidRDefault="001072EE" w:rsidP="001072EE">
      <w:pPr>
        <w:rPr>
          <w:lang w:val="en-GB"/>
        </w:rPr>
      </w:pPr>
    </w:p>
    <w:p w:rsidR="001072EE" w:rsidRDefault="001072EE" w:rsidP="001072EE">
      <w:pPr>
        <w:jc w:val="center"/>
        <w:rPr>
          <w:lang w:val="en-GB"/>
        </w:rPr>
      </w:pPr>
      <w:r>
        <w:rPr>
          <w:noProof/>
          <w:lang w:eastAsia="en-ZA"/>
        </w:rPr>
        <w:drawing>
          <wp:inline distT="0" distB="0" distL="0" distR="0" wp14:anchorId="44D520B3" wp14:editId="3F545496">
            <wp:extent cx="4556760" cy="48217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4631" cy="48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EE" w:rsidRDefault="001072EE" w:rsidP="001072EE">
      <w:pPr>
        <w:jc w:val="both"/>
        <w:rPr>
          <w:lang w:val="en-GB"/>
        </w:rPr>
      </w:pPr>
      <w:r w:rsidRPr="001072EE">
        <w:rPr>
          <w:b/>
          <w:lang w:val="en-GB"/>
        </w:rPr>
        <w:t>Fig</w:t>
      </w:r>
      <w:r w:rsidR="00C937D4">
        <w:rPr>
          <w:b/>
          <w:lang w:val="en-GB"/>
        </w:rPr>
        <w:t>ure</w:t>
      </w:r>
      <w:r w:rsidRPr="001072EE">
        <w:rPr>
          <w:b/>
          <w:lang w:val="en-GB"/>
        </w:rPr>
        <w:t xml:space="preserve"> S</w:t>
      </w:r>
      <w:r w:rsidR="00C937D4">
        <w:rPr>
          <w:b/>
          <w:lang w:val="en-GB"/>
        </w:rPr>
        <w:t>3.1</w:t>
      </w:r>
      <w:r>
        <w:rPr>
          <w:lang w:val="en-GB"/>
        </w:rPr>
        <w:t xml:space="preserve"> </w:t>
      </w:r>
      <w:r w:rsidRPr="00A21578">
        <w:rPr>
          <w:lang w:val="en-GB"/>
        </w:rPr>
        <w:t xml:space="preserve">Chloroplast haplotype network and haplotype distribution of </w:t>
      </w:r>
      <w:r w:rsidRPr="00A21578">
        <w:rPr>
          <w:i/>
          <w:lang w:val="en-GB"/>
        </w:rPr>
        <w:t>Nymania capensis</w:t>
      </w:r>
      <w:r w:rsidRPr="00A21578">
        <w:rPr>
          <w:lang w:val="en-GB"/>
        </w:rPr>
        <w:t>. (A) The statistical parsimony haplotype network is based on</w:t>
      </w:r>
      <w:r>
        <w:rPr>
          <w:lang w:val="en-GB"/>
        </w:rPr>
        <w:t xml:space="preserve"> </w:t>
      </w:r>
      <w:r w:rsidRPr="00A21578">
        <w:rPr>
          <w:lang w:val="en-GB"/>
        </w:rPr>
        <w:t xml:space="preserve">the two combined chloroplast regions. Lineages are identiﬁed drainage </w:t>
      </w:r>
      <w:proofErr w:type="gramStart"/>
      <w:r w:rsidRPr="00A21578">
        <w:rPr>
          <w:lang w:val="en-GB"/>
        </w:rPr>
        <w:t>basin</w:t>
      </w:r>
      <w:r>
        <w:rPr>
          <w:lang w:val="en-GB"/>
        </w:rPr>
        <w:t xml:space="preserve"> </w:t>
      </w:r>
      <w:r w:rsidRPr="00A21578">
        <w:rPr>
          <w:lang w:val="en-GB"/>
        </w:rPr>
        <w:t>are</w:t>
      </w:r>
      <w:proofErr w:type="gramEnd"/>
      <w:r w:rsidRPr="00A21578">
        <w:rPr>
          <w:lang w:val="en-GB"/>
        </w:rPr>
        <w:t xml:space="preserve"> shown. (B) The distribution of lineages within drainage basins (watershed</w:t>
      </w:r>
      <w:r>
        <w:rPr>
          <w:lang w:val="en-GB"/>
        </w:rPr>
        <w:t xml:space="preserve"> </w:t>
      </w:r>
      <w:r w:rsidRPr="00A21578">
        <w:rPr>
          <w:lang w:val="en-GB"/>
        </w:rPr>
        <w:t xml:space="preserve">boundaries are shown in grey). </w:t>
      </w:r>
      <w:proofErr w:type="spellStart"/>
      <w:r w:rsidRPr="00A21578">
        <w:rPr>
          <w:lang w:val="en-GB"/>
        </w:rPr>
        <w:t>Outgroup</w:t>
      </w:r>
      <w:proofErr w:type="spellEnd"/>
      <w:r w:rsidRPr="00A21578">
        <w:rPr>
          <w:lang w:val="en-GB"/>
        </w:rPr>
        <w:t xml:space="preserve"> samples formed an unconnected</w:t>
      </w:r>
      <w:r>
        <w:rPr>
          <w:lang w:val="en-GB"/>
        </w:rPr>
        <w:t xml:space="preserve"> </w:t>
      </w:r>
      <w:r w:rsidRPr="00A21578">
        <w:rPr>
          <w:lang w:val="en-GB"/>
        </w:rPr>
        <w:t>network. Black and grey arrows represent samples AJP0537 and AJP0810,</w:t>
      </w:r>
      <w:r>
        <w:rPr>
          <w:lang w:val="en-GB"/>
        </w:rPr>
        <w:t xml:space="preserve"> </w:t>
      </w:r>
      <w:r w:rsidRPr="00A21578">
        <w:rPr>
          <w:lang w:val="en-GB"/>
        </w:rPr>
        <w:t>respectively, which are discussed in</w:t>
      </w:r>
      <w:r>
        <w:rPr>
          <w:lang w:val="en-GB"/>
        </w:rPr>
        <w:t xml:space="preserve"> </w:t>
      </w:r>
      <w:r w:rsidRPr="00A21578">
        <w:rPr>
          <w:lang w:val="en-GB"/>
        </w:rPr>
        <w:t>the text.</w:t>
      </w:r>
    </w:p>
    <w:p w:rsidR="001072EE" w:rsidRDefault="001072EE" w:rsidP="001072EE">
      <w:pPr>
        <w:rPr>
          <w:lang w:val="en-GB"/>
        </w:rPr>
      </w:pPr>
      <w:r>
        <w:rPr>
          <w:lang w:val="en-GB"/>
        </w:rPr>
        <w:br w:type="page"/>
      </w:r>
    </w:p>
    <w:p w:rsidR="001072EE" w:rsidRDefault="001072EE" w:rsidP="001072EE">
      <w:pPr>
        <w:rPr>
          <w:lang w:val="en-GB"/>
        </w:rPr>
      </w:pPr>
      <w:r>
        <w:rPr>
          <w:noProof/>
          <w:lang w:eastAsia="en-ZA"/>
        </w:rPr>
        <w:lastRenderedPageBreak/>
        <w:drawing>
          <wp:inline distT="0" distB="0" distL="0" distR="0" wp14:anchorId="213DC500" wp14:editId="59BB67EA">
            <wp:extent cx="5212742" cy="530352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4550" cy="53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EE" w:rsidRDefault="001072EE" w:rsidP="001072EE">
      <w:pPr>
        <w:rPr>
          <w:lang w:val="en-GB"/>
        </w:rPr>
      </w:pPr>
    </w:p>
    <w:p w:rsidR="001072EE" w:rsidRDefault="001072EE" w:rsidP="001072EE">
      <w:pPr>
        <w:rPr>
          <w:lang w:val="en-GB"/>
        </w:rPr>
      </w:pPr>
      <w:r w:rsidRPr="001072EE">
        <w:rPr>
          <w:b/>
          <w:lang w:val="en-GB"/>
        </w:rPr>
        <w:t>Fig</w:t>
      </w:r>
      <w:r w:rsidR="00C937D4">
        <w:rPr>
          <w:b/>
          <w:lang w:val="en-GB"/>
        </w:rPr>
        <w:t>ure</w:t>
      </w:r>
      <w:r w:rsidRPr="001072EE">
        <w:rPr>
          <w:b/>
          <w:lang w:val="en-GB"/>
        </w:rPr>
        <w:t xml:space="preserve"> S</w:t>
      </w:r>
      <w:r w:rsidR="00C937D4">
        <w:rPr>
          <w:b/>
          <w:lang w:val="en-GB"/>
        </w:rPr>
        <w:t>3.2</w:t>
      </w:r>
      <w:r>
        <w:rPr>
          <w:lang w:val="en-GB"/>
        </w:rPr>
        <w:t xml:space="preserve"> </w:t>
      </w:r>
      <w:r w:rsidRPr="00FA485E">
        <w:rPr>
          <w:lang w:val="en-GB"/>
        </w:rPr>
        <w:t xml:space="preserve">Network, clusters and cluster distribution of </w:t>
      </w:r>
      <w:proofErr w:type="spellStart"/>
      <w:r w:rsidRPr="00FA485E">
        <w:rPr>
          <w:lang w:val="en-GB"/>
        </w:rPr>
        <w:t>ncpGS</w:t>
      </w:r>
      <w:proofErr w:type="spellEnd"/>
      <w:r w:rsidRPr="00FA485E">
        <w:rPr>
          <w:lang w:val="en-GB"/>
        </w:rPr>
        <w:t xml:space="preserve"> haplotypes from</w:t>
      </w:r>
      <w:r>
        <w:rPr>
          <w:lang w:val="en-GB"/>
        </w:rPr>
        <w:t xml:space="preserve"> </w:t>
      </w:r>
      <w:r w:rsidRPr="00FA485E">
        <w:rPr>
          <w:i/>
          <w:lang w:val="en-GB"/>
        </w:rPr>
        <w:t>Nymania capensis</w:t>
      </w:r>
      <w:r w:rsidRPr="00FA485E">
        <w:rPr>
          <w:lang w:val="en-GB"/>
        </w:rPr>
        <w:t xml:space="preserve">. (A) The </w:t>
      </w:r>
      <w:proofErr w:type="spellStart"/>
      <w:r w:rsidRPr="00FA485E">
        <w:rPr>
          <w:lang w:val="en-GB"/>
        </w:rPr>
        <w:t>NeighbourNet</w:t>
      </w:r>
      <w:proofErr w:type="spellEnd"/>
      <w:r w:rsidRPr="00FA485E">
        <w:rPr>
          <w:lang w:val="en-GB"/>
        </w:rPr>
        <w:t xml:space="preserve"> splits phylogenetic network is</w:t>
      </w:r>
      <w:r>
        <w:rPr>
          <w:lang w:val="en-GB"/>
        </w:rPr>
        <w:t xml:space="preserve"> </w:t>
      </w:r>
      <w:r w:rsidRPr="00FA485E">
        <w:rPr>
          <w:lang w:val="en-GB"/>
        </w:rPr>
        <w:t xml:space="preserve">based on polymorphism p-distances. The </w:t>
      </w:r>
      <w:proofErr w:type="spellStart"/>
      <w:r w:rsidRPr="00FA485E">
        <w:rPr>
          <w:lang w:val="en-GB"/>
        </w:rPr>
        <w:t>outgroup</w:t>
      </w:r>
      <w:proofErr w:type="spellEnd"/>
      <w:r w:rsidRPr="00FA485E">
        <w:rPr>
          <w:lang w:val="en-GB"/>
        </w:rPr>
        <w:t xml:space="preserve"> sample is from the </w:t>
      </w:r>
      <w:proofErr w:type="spellStart"/>
      <w:r w:rsidRPr="00FA485E">
        <w:rPr>
          <w:lang w:val="en-GB"/>
        </w:rPr>
        <w:t>disjunct</w:t>
      </w:r>
      <w:proofErr w:type="spellEnd"/>
      <w:r>
        <w:rPr>
          <w:lang w:val="en-GB"/>
        </w:rPr>
        <w:t xml:space="preserve"> </w:t>
      </w:r>
      <w:r w:rsidRPr="00FA485E">
        <w:rPr>
          <w:lang w:val="en-GB"/>
        </w:rPr>
        <w:t>northern distribution (BOL48535). (B) The distribution of clusters identiﬁed</w:t>
      </w:r>
      <w:r>
        <w:rPr>
          <w:lang w:val="en-GB"/>
        </w:rPr>
        <w:t xml:space="preserve"> </w:t>
      </w:r>
      <w:r w:rsidRPr="00FA485E">
        <w:rPr>
          <w:lang w:val="en-GB"/>
        </w:rPr>
        <w:t>in the network across major drainage basins (watershed boundaries are shown</w:t>
      </w:r>
      <w:r>
        <w:rPr>
          <w:lang w:val="en-GB"/>
        </w:rPr>
        <w:t xml:space="preserve"> </w:t>
      </w:r>
      <w:r w:rsidRPr="00FA485E">
        <w:rPr>
          <w:lang w:val="en-GB"/>
        </w:rPr>
        <w:t>in grey). Black and grey arrows represent samples AJP0537 and AJP0810,</w:t>
      </w:r>
      <w:r>
        <w:rPr>
          <w:lang w:val="en-GB"/>
        </w:rPr>
        <w:t xml:space="preserve"> </w:t>
      </w:r>
      <w:r w:rsidRPr="00FA485E">
        <w:rPr>
          <w:lang w:val="en-GB"/>
        </w:rPr>
        <w:t>respectively, which are discussed in the text.</w:t>
      </w:r>
    </w:p>
    <w:p w:rsidR="001072EE" w:rsidRDefault="001072EE"/>
    <w:p w:rsidR="00F73C4D" w:rsidRDefault="00F73C4D" w:rsidP="008322D8">
      <w:pPr>
        <w:jc w:val="center"/>
      </w:pPr>
    </w:p>
    <w:p w:rsidR="00F73C4D" w:rsidRDefault="00F73C4D" w:rsidP="008322D8">
      <w:pPr>
        <w:jc w:val="center"/>
      </w:pPr>
    </w:p>
    <w:p w:rsidR="00C937D4" w:rsidRDefault="00C937D4">
      <w:r>
        <w:br w:type="page"/>
      </w:r>
    </w:p>
    <w:p w:rsidR="00C937D4" w:rsidRPr="00A56E71" w:rsidRDefault="00C937D4" w:rsidP="00C937D4">
      <w:pPr>
        <w:rPr>
          <w:b/>
        </w:rPr>
      </w:pPr>
      <w:r w:rsidRPr="00A56E71">
        <w:rPr>
          <w:b/>
        </w:rPr>
        <w:lastRenderedPageBreak/>
        <w:t>References</w:t>
      </w:r>
    </w:p>
    <w:p w:rsidR="00F73C4D" w:rsidRPr="00F73C4D" w:rsidRDefault="00F73C4D" w:rsidP="00F73C4D">
      <w:pPr>
        <w:spacing w:after="0" w:line="240" w:lineRule="auto"/>
        <w:ind w:left="720" w:hanging="720"/>
        <w:jc w:val="center"/>
        <w:rPr>
          <w:rFonts w:ascii="Calibri" w:hAnsi="Calibri"/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1" w:name="_ENREF_1"/>
      <w:r w:rsidRPr="00F73C4D">
        <w:rPr>
          <w:rFonts w:ascii="Calibri" w:hAnsi="Calibri"/>
          <w:noProof/>
        </w:rPr>
        <w:t xml:space="preserve">Drummond, A.J. &amp; Rambaut, A. (2007) BEAST: Bayesian evolutionary analysis by sampling trees. </w:t>
      </w:r>
      <w:r w:rsidRPr="00F73C4D">
        <w:rPr>
          <w:rFonts w:ascii="Calibri" w:hAnsi="Calibri"/>
          <w:i/>
          <w:noProof/>
        </w:rPr>
        <w:t>BMC Evolutionary Biology</w:t>
      </w:r>
      <w:r w:rsidRPr="00F73C4D">
        <w:rPr>
          <w:rFonts w:ascii="Calibri" w:hAnsi="Calibri"/>
          <w:noProof/>
        </w:rPr>
        <w:t xml:space="preserve">, </w:t>
      </w:r>
      <w:r w:rsidRPr="00F73C4D">
        <w:rPr>
          <w:rFonts w:ascii="Calibri" w:hAnsi="Calibri"/>
          <w:b/>
          <w:noProof/>
        </w:rPr>
        <w:t>7</w:t>
      </w:r>
      <w:r w:rsidRPr="00F73C4D">
        <w:rPr>
          <w:rFonts w:ascii="Calibri" w:hAnsi="Calibri"/>
          <w:noProof/>
        </w:rPr>
        <w:t>, 214.</w:t>
      </w:r>
      <w:bookmarkEnd w:id="1"/>
    </w:p>
    <w:p w:rsidR="00F73C4D" w:rsidRPr="00F73C4D" w:rsidRDefault="00F73C4D" w:rsidP="00F73C4D">
      <w:pPr>
        <w:spacing w:after="0" w:line="240" w:lineRule="auto"/>
        <w:ind w:left="720" w:hanging="720"/>
        <w:jc w:val="center"/>
        <w:rPr>
          <w:rFonts w:ascii="Calibri" w:hAnsi="Calibri"/>
          <w:noProof/>
        </w:rPr>
      </w:pPr>
      <w:bookmarkStart w:id="2" w:name="_ENREF_2"/>
      <w:r w:rsidRPr="00F73C4D">
        <w:rPr>
          <w:rFonts w:ascii="Calibri" w:hAnsi="Calibri"/>
          <w:noProof/>
        </w:rPr>
        <w:t xml:space="preserve">Pennington, T.D. &amp; Styles, B.T. (1975) A generic monograph of the Meliaceae. </w:t>
      </w:r>
      <w:r w:rsidRPr="00F73C4D">
        <w:rPr>
          <w:rFonts w:ascii="Calibri" w:hAnsi="Calibri"/>
          <w:i/>
          <w:noProof/>
        </w:rPr>
        <w:t>Blumea</w:t>
      </w:r>
      <w:r w:rsidRPr="00F73C4D">
        <w:rPr>
          <w:rFonts w:ascii="Calibri" w:hAnsi="Calibri"/>
          <w:noProof/>
        </w:rPr>
        <w:t xml:space="preserve">, </w:t>
      </w:r>
      <w:r w:rsidRPr="00F73C4D">
        <w:rPr>
          <w:rFonts w:ascii="Calibri" w:hAnsi="Calibri"/>
          <w:b/>
          <w:noProof/>
        </w:rPr>
        <w:t>22</w:t>
      </w:r>
      <w:r w:rsidRPr="00F73C4D">
        <w:rPr>
          <w:rFonts w:ascii="Calibri" w:hAnsi="Calibri"/>
          <w:noProof/>
        </w:rPr>
        <w:t>, 419-540.</w:t>
      </w:r>
      <w:bookmarkEnd w:id="2"/>
    </w:p>
    <w:p w:rsidR="00F73C4D" w:rsidRPr="00F73C4D" w:rsidRDefault="00F73C4D" w:rsidP="00F73C4D">
      <w:pPr>
        <w:spacing w:after="0" w:line="240" w:lineRule="auto"/>
        <w:ind w:left="720" w:hanging="720"/>
        <w:jc w:val="center"/>
        <w:rPr>
          <w:rFonts w:ascii="Calibri" w:hAnsi="Calibri"/>
          <w:noProof/>
        </w:rPr>
      </w:pPr>
      <w:bookmarkStart w:id="3" w:name="_ENREF_3"/>
      <w:r w:rsidRPr="00F73C4D">
        <w:rPr>
          <w:rFonts w:ascii="Calibri" w:hAnsi="Calibri"/>
          <w:noProof/>
        </w:rPr>
        <w:t xml:space="preserve">Posada, D. (2008) jModelTest: phylogenetic model averaging. </w:t>
      </w:r>
      <w:r w:rsidRPr="00F73C4D">
        <w:rPr>
          <w:rFonts w:ascii="Calibri" w:hAnsi="Calibri"/>
          <w:i/>
          <w:noProof/>
        </w:rPr>
        <w:t>Molecular Biology and Evolution</w:t>
      </w:r>
      <w:r w:rsidRPr="00F73C4D">
        <w:rPr>
          <w:rFonts w:ascii="Calibri" w:hAnsi="Calibri"/>
          <w:noProof/>
        </w:rPr>
        <w:t xml:space="preserve">, </w:t>
      </w:r>
      <w:r w:rsidRPr="00F73C4D">
        <w:rPr>
          <w:rFonts w:ascii="Calibri" w:hAnsi="Calibri"/>
          <w:b/>
          <w:noProof/>
        </w:rPr>
        <w:t>25</w:t>
      </w:r>
      <w:r w:rsidRPr="00F73C4D">
        <w:rPr>
          <w:rFonts w:ascii="Calibri" w:hAnsi="Calibri"/>
          <w:noProof/>
        </w:rPr>
        <w:t>, 1253-1256.</w:t>
      </w:r>
      <w:bookmarkEnd w:id="3"/>
    </w:p>
    <w:p w:rsidR="00F73C4D" w:rsidRPr="00F73C4D" w:rsidRDefault="00F73C4D" w:rsidP="00F73C4D">
      <w:pPr>
        <w:spacing w:line="240" w:lineRule="auto"/>
        <w:ind w:left="720" w:hanging="720"/>
        <w:jc w:val="center"/>
        <w:rPr>
          <w:rFonts w:ascii="Calibri" w:hAnsi="Calibri"/>
          <w:noProof/>
        </w:rPr>
      </w:pPr>
      <w:bookmarkStart w:id="4" w:name="_ENREF_4"/>
      <w:r w:rsidRPr="00F73C4D">
        <w:rPr>
          <w:rFonts w:ascii="Calibri" w:hAnsi="Calibri"/>
          <w:noProof/>
        </w:rPr>
        <w:t xml:space="preserve">Tajima, F. (1993) Simple methods for testing molecular clock hypothesis. </w:t>
      </w:r>
      <w:r w:rsidRPr="00F73C4D">
        <w:rPr>
          <w:rFonts w:ascii="Calibri" w:hAnsi="Calibri"/>
          <w:i/>
          <w:noProof/>
        </w:rPr>
        <w:t>Genetics</w:t>
      </w:r>
      <w:r w:rsidRPr="00F73C4D">
        <w:rPr>
          <w:rFonts w:ascii="Calibri" w:hAnsi="Calibri"/>
          <w:noProof/>
        </w:rPr>
        <w:t xml:space="preserve">, </w:t>
      </w:r>
      <w:r w:rsidRPr="00F73C4D">
        <w:rPr>
          <w:rFonts w:ascii="Calibri" w:hAnsi="Calibri"/>
          <w:b/>
          <w:noProof/>
        </w:rPr>
        <w:t>135</w:t>
      </w:r>
      <w:r w:rsidRPr="00F73C4D">
        <w:rPr>
          <w:rFonts w:ascii="Calibri" w:hAnsi="Calibri"/>
          <w:noProof/>
        </w:rPr>
        <w:t>, 599-607.</w:t>
      </w:r>
      <w:bookmarkEnd w:id="4"/>
    </w:p>
    <w:p w:rsidR="00F73C4D" w:rsidRDefault="00F73C4D" w:rsidP="00F73C4D">
      <w:pPr>
        <w:spacing w:line="240" w:lineRule="auto"/>
        <w:jc w:val="center"/>
        <w:rPr>
          <w:noProof/>
        </w:rPr>
      </w:pPr>
    </w:p>
    <w:p w:rsidR="00C5109D" w:rsidRPr="00C5109D" w:rsidRDefault="00F73C4D" w:rsidP="008322D8">
      <w:pPr>
        <w:jc w:val="center"/>
      </w:pPr>
      <w:r>
        <w:fldChar w:fldCharType="end"/>
      </w:r>
    </w:p>
    <w:sectPr w:rsidR="00C5109D" w:rsidRPr="00C5109D" w:rsidSect="001072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J Biogeograph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adxfaf25adtz5eda2apf5tuxe0s92vdv5ws&quot;&gt;Master Library&lt;record-ids&gt;&lt;item&gt;779&lt;/item&gt;&lt;item&gt;979&lt;/item&gt;&lt;item&gt;1350&lt;/item&gt;&lt;item&gt;1446&lt;/item&gt;&lt;/record-ids&gt;&lt;/item&gt;&lt;/Libraries&gt;"/>
  </w:docVars>
  <w:rsids>
    <w:rsidRoot w:val="00102E08"/>
    <w:rsid w:val="000906A4"/>
    <w:rsid w:val="00102E08"/>
    <w:rsid w:val="001072EE"/>
    <w:rsid w:val="001433D0"/>
    <w:rsid w:val="0019402A"/>
    <w:rsid w:val="002826B2"/>
    <w:rsid w:val="002914AC"/>
    <w:rsid w:val="002F1C36"/>
    <w:rsid w:val="0033026C"/>
    <w:rsid w:val="003536A4"/>
    <w:rsid w:val="003709DF"/>
    <w:rsid w:val="003D4CB9"/>
    <w:rsid w:val="00415088"/>
    <w:rsid w:val="00460655"/>
    <w:rsid w:val="004B5DEB"/>
    <w:rsid w:val="005007CD"/>
    <w:rsid w:val="005746A4"/>
    <w:rsid w:val="005A0C4B"/>
    <w:rsid w:val="006121ED"/>
    <w:rsid w:val="00625D3A"/>
    <w:rsid w:val="006A2372"/>
    <w:rsid w:val="007331D3"/>
    <w:rsid w:val="00763665"/>
    <w:rsid w:val="007C3299"/>
    <w:rsid w:val="007C590E"/>
    <w:rsid w:val="008322D8"/>
    <w:rsid w:val="00A21578"/>
    <w:rsid w:val="00A56E71"/>
    <w:rsid w:val="00AC7B8A"/>
    <w:rsid w:val="00B850B4"/>
    <w:rsid w:val="00C5109D"/>
    <w:rsid w:val="00C62EAE"/>
    <w:rsid w:val="00C937D4"/>
    <w:rsid w:val="00D73882"/>
    <w:rsid w:val="00DD1638"/>
    <w:rsid w:val="00E62606"/>
    <w:rsid w:val="00E73C68"/>
    <w:rsid w:val="00F03C2A"/>
    <w:rsid w:val="00F73C4D"/>
    <w:rsid w:val="00FA436F"/>
    <w:rsid w:val="00FA485E"/>
    <w:rsid w:val="00FD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850B4"/>
    <w:pPr>
      <w:keepNext/>
      <w:spacing w:before="240" w:after="60" w:line="360" w:lineRule="auto"/>
      <w:outlineLvl w:val="1"/>
    </w:pPr>
    <w:rPr>
      <w:rFonts w:eastAsia="Times New Roman" w:cs="Arial"/>
      <w:b/>
      <w:bCs/>
      <w:i/>
      <w:iCs/>
      <w:sz w:val="24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0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DD1638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D163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B850B4"/>
    <w:rPr>
      <w:rFonts w:eastAsia="Times New Roman" w:cs="Arial"/>
      <w:b/>
      <w:bCs/>
      <w:i/>
      <w:iCs/>
      <w:sz w:val="24"/>
      <w:szCs w:val="28"/>
      <w:lang w:val="en-GB" w:eastAsia="en-GB"/>
    </w:rPr>
  </w:style>
  <w:style w:type="table" w:styleId="TableGrid">
    <w:name w:val="Table Grid"/>
    <w:basedOn w:val="TableNormal"/>
    <w:uiPriority w:val="59"/>
    <w:rsid w:val="00F03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850B4"/>
    <w:pPr>
      <w:keepNext/>
      <w:spacing w:before="240" w:after="60" w:line="360" w:lineRule="auto"/>
      <w:outlineLvl w:val="1"/>
    </w:pPr>
    <w:rPr>
      <w:rFonts w:eastAsia="Times New Roman" w:cs="Arial"/>
      <w:b/>
      <w:bCs/>
      <w:i/>
      <w:iCs/>
      <w:sz w:val="24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0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DD1638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D163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B850B4"/>
    <w:rPr>
      <w:rFonts w:eastAsia="Times New Roman" w:cs="Arial"/>
      <w:b/>
      <w:bCs/>
      <w:i/>
      <w:iCs/>
      <w:sz w:val="24"/>
      <w:szCs w:val="28"/>
      <w:lang w:val="en-GB" w:eastAsia="en-GB"/>
    </w:rPr>
  </w:style>
  <w:style w:type="table" w:styleId="TableGrid">
    <w:name w:val="Table Grid"/>
    <w:basedOn w:val="TableNormal"/>
    <w:uiPriority w:val="59"/>
    <w:rsid w:val="00F03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6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12</Pages>
  <Words>2567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Alastair</dc:creator>
  <cp:keywords/>
  <dc:description/>
  <cp:lastModifiedBy>apotts</cp:lastModifiedBy>
  <cp:revision>40</cp:revision>
  <dcterms:created xsi:type="dcterms:W3CDTF">2014-03-17T09:08:00Z</dcterms:created>
  <dcterms:modified xsi:type="dcterms:W3CDTF">2014-10-06T19:03:00Z</dcterms:modified>
</cp:coreProperties>
</file>