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9A" w:rsidRPr="0074189A" w:rsidRDefault="0074189A" w:rsidP="007418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4189A">
        <w:rPr>
          <w:rFonts w:ascii="Times New Roman" w:hAnsi="Times New Roman" w:cs="Times New Roman"/>
          <w:b/>
          <w:sz w:val="24"/>
          <w:szCs w:val="24"/>
          <w:lang w:val="en-US"/>
        </w:rPr>
        <w:t>Data S2.</w:t>
      </w:r>
      <w:proofErr w:type="gramEnd"/>
      <w:r w:rsidRPr="00741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Description of </w:t>
      </w:r>
      <w:proofErr w:type="spellStart"/>
      <w:r w:rsidRPr="0074189A">
        <w:rPr>
          <w:rFonts w:ascii="Times New Roman" w:hAnsi="Times New Roman" w:cs="Times New Roman"/>
          <w:b/>
          <w:sz w:val="24"/>
          <w:szCs w:val="24"/>
          <w:lang w:val="en-US"/>
        </w:rPr>
        <w:t>Pampean</w:t>
      </w:r>
      <w:proofErr w:type="spellEnd"/>
      <w:r w:rsidRPr="00741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carnivores</w:t>
      </w:r>
    </w:p>
    <w:p w:rsidR="0074189A" w:rsidRPr="0074189A" w:rsidRDefault="0074189A" w:rsidP="0074189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4189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) The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ursid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Arctotherium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angustidens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evolved during the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Ensenadan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Stage/Age. This large ‘short-faced’ bear was a member of the megafauna and recent estimations of its body mass indicate that the animal weighed more than a tonne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Soibelzon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et al., 2014). Recent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morphometric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studies also indicate that this bear probably had an omnivorous diet supplemented by meat or carrion, as dental pathologies detected in some individuals of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Arctotherium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probably resulted from chewing bones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Figueirido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Soibelzon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2010). Moreover,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Soibelzon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et al. (2014) have found biomechanical and isotopic evidence of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A.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angustidens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having an omnivorous diet but with scavenging abilities. Other smaller bears that appeared later in South America, including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Arctotherium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vetustum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Arctotherium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bonariense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Arctotherium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tarijense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>, had a more plant-based diet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Figueirido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Soibelzon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2010). </w:t>
      </w:r>
    </w:p>
    <w:p w:rsidR="0074189A" w:rsidRPr="0074189A" w:rsidRDefault="0074189A" w:rsidP="0074189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4189A">
        <w:rPr>
          <w:rFonts w:ascii="Times New Roman" w:hAnsi="Times New Roman" w:cs="Times New Roman"/>
          <w:sz w:val="24"/>
          <w:szCs w:val="24"/>
          <w:lang w:val="en-GB"/>
        </w:rPr>
        <w:t>(ii) Three felids were also present in these ecosystems. The dirk-toothed</w:t>
      </w:r>
      <w:r w:rsidRPr="0074189A" w:rsidDel="00B510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sabre cat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Smilodon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populator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was the top predator in this region: its estimated body mass has been calculated as being between 220-360 kg, </w:t>
      </w:r>
      <w:proofErr w:type="gramStart"/>
      <w:r w:rsidRPr="0074189A">
        <w:rPr>
          <w:rFonts w:ascii="Times New Roman" w:hAnsi="Times New Roman" w:cs="Times New Roman"/>
          <w:sz w:val="24"/>
          <w:szCs w:val="24"/>
          <w:lang w:val="en-GB"/>
        </w:rPr>
        <w:t>but</w:t>
      </w:r>
      <w:proofErr w:type="gram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it could have reached up to 400 kg (Christiansen &amp; Harris, 2006). This sabre-toothed cat may even have been capable of hunting juvenile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Megatherium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americanum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Tardigrada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Megatheriidae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>), with a body mass of adult individuals ranging between 4.000 and 6.000 kg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Vizcaíno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2006;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Bocherens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et al., 2016). However, the large sabre-like canines that it used to attack to the throat of its prey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Antón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et al., 2004) precluded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Smilodon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from breaking or consuming bones regularly, although they could have inflicted important bone damage during hunting and/or soft-tissues consumption </w:t>
      </w:r>
      <w:r w:rsidRPr="007418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Van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Valkeburgh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Hertel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1993;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Marean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Ehrhardt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1995; Binder &amp; Van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Valkenburgh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2010). The other two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hypercarnivorous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felids were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Puma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concolor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with an estimated body mass of 47-50 kg (Christiansen &amp; Harris, 2006;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Vizcaíno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2006), and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Panthera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onca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weighing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ca.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120 kg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Vizcaíno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2006). Although these species would have fed on prey of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ca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. 600 kg; occasionally theses preyed on juvenile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megamammals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Vizcaíno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>, 2006). The puma could have inflicted substantial mark on bone but would not usually have consumed it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Muñoz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et al., 2008; Kaufmann et al. 2016). In contrast,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Panthera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onca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>was potentially able to break and consume bone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Martín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2008;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Domínguez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-Rodrigo et al., 2015). </w:t>
      </w:r>
    </w:p>
    <w:p w:rsidR="0074189A" w:rsidRPr="00656895" w:rsidRDefault="0074189A" w:rsidP="0074189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Hypercarnivorous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canids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were also present in these ecosystems at the same time. They could have cooperated in order to hunt large mammals and juvenile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lastRenderedPageBreak/>
        <w:t>megamammals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>, and they would also have had the ability to scavenge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Palmqvist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2001;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Zurita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Carlini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2005;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Schubert, 2013). This may have been the case for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Theriodictis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platensis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weighing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ca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. 37 kg, which evolved during the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Ensenadan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Stage/Age. It could have preyed upon animals of around 600 kg, animals of extreme age classes (i.e., very old or juvenile individuals), or diseased members of the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megafauna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Palmqvist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2001). During the Pleistocene, there were various species of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Protocyon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weighing between 20 and 25 kg. These could have hunted middle-sized mammals, scavenged carcasses of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megamammals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and may even have competed with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Smilodon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populator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Zurita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Carlini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2005;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Schubert, 2013;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Bocherens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et al., 2016).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Canis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nehringui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weighing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ca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>. 32 kg, was present during the late Pleistocene-early Holocene and although it would have generally fed on medium-sized mammals, pack-hunting of bigger species may have been possible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Vizcaíno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2006).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Dusicyon</w:t>
      </w:r>
      <w:proofErr w:type="spellEnd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avus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, weighing </w:t>
      </w:r>
      <w:r w:rsidRPr="0074189A">
        <w:rPr>
          <w:rFonts w:ascii="Times New Roman" w:hAnsi="Times New Roman" w:cs="Times New Roman"/>
          <w:i/>
          <w:sz w:val="24"/>
          <w:szCs w:val="24"/>
          <w:lang w:val="en-GB"/>
        </w:rPr>
        <w:t>ca</w:t>
      </w:r>
      <w:r w:rsidRPr="0074189A">
        <w:rPr>
          <w:rFonts w:ascii="Times New Roman" w:hAnsi="Times New Roman" w:cs="Times New Roman"/>
          <w:sz w:val="24"/>
          <w:szCs w:val="24"/>
          <w:lang w:val="en-GB"/>
        </w:rPr>
        <w:t>. 14 kg, would have specialised in smaller species, but consumption of larger mammals cannot be ruled out (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Prevosti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74189A">
        <w:rPr>
          <w:rFonts w:ascii="Times New Roman" w:hAnsi="Times New Roman" w:cs="Times New Roman"/>
          <w:sz w:val="24"/>
          <w:szCs w:val="24"/>
          <w:lang w:val="en-GB"/>
        </w:rPr>
        <w:t>Vizcaíno</w:t>
      </w:r>
      <w:proofErr w:type="spellEnd"/>
      <w:r w:rsidRPr="0074189A">
        <w:rPr>
          <w:rFonts w:ascii="Times New Roman" w:hAnsi="Times New Roman" w:cs="Times New Roman"/>
          <w:sz w:val="24"/>
          <w:szCs w:val="24"/>
          <w:lang w:val="en-GB"/>
        </w:rPr>
        <w:t>, 2006).</w:t>
      </w:r>
    </w:p>
    <w:p w:rsidR="00CF3A01" w:rsidRPr="0074189A" w:rsidRDefault="00CF3A01">
      <w:pPr>
        <w:rPr>
          <w:lang w:val="en-GB"/>
        </w:rPr>
      </w:pPr>
    </w:p>
    <w:sectPr w:rsidR="00CF3A01" w:rsidRPr="0074189A" w:rsidSect="00CF3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89A"/>
    <w:rsid w:val="006E705B"/>
    <w:rsid w:val="0074189A"/>
    <w:rsid w:val="00AC5C0D"/>
    <w:rsid w:val="00C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Kar</cp:lastModifiedBy>
  <cp:revision>2</cp:revision>
  <dcterms:created xsi:type="dcterms:W3CDTF">2017-04-06T13:56:00Z</dcterms:created>
  <dcterms:modified xsi:type="dcterms:W3CDTF">2017-04-26T08:26:00Z</dcterms:modified>
</cp:coreProperties>
</file>