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DF" w:rsidRPr="005733F5" w:rsidRDefault="00CE38DF" w:rsidP="005733F5">
      <w:pPr>
        <w:jc w:val="center"/>
        <w:rPr>
          <w:rFonts w:ascii="Garamond" w:hAnsi="Garamond"/>
          <w:b/>
          <w:sz w:val="40"/>
          <w:szCs w:val="40"/>
          <w:bdr w:val="nil"/>
        </w:rPr>
      </w:pPr>
      <w:r w:rsidRPr="005733F5">
        <w:rPr>
          <w:rFonts w:ascii="Garamond" w:hAnsi="Garamond"/>
          <w:b/>
          <w:sz w:val="40"/>
          <w:szCs w:val="40"/>
          <w:bdr w:val="nil"/>
        </w:rPr>
        <w:t>Delineating the impact of machine learning elements in pre-microRNA detection</w:t>
      </w:r>
    </w:p>
    <w:p w:rsidR="00CE38DF" w:rsidRPr="005733F5" w:rsidRDefault="00CE38DF" w:rsidP="005733F5">
      <w:pPr>
        <w:jc w:val="center"/>
        <w:rPr>
          <w:rFonts w:ascii="Garamond" w:hAnsi="Garamond"/>
          <w:sz w:val="12"/>
          <w:szCs w:val="12"/>
          <w:bdr w:val="nil"/>
        </w:rPr>
      </w:pPr>
    </w:p>
    <w:p w:rsidR="00CE38DF" w:rsidRPr="005733F5" w:rsidRDefault="00CE38DF" w:rsidP="005733F5">
      <w:pPr>
        <w:jc w:val="center"/>
        <w:rPr>
          <w:rFonts w:ascii="Garamond" w:eastAsia="Arial Unicode MS" w:hAnsi="Garamond"/>
          <w:b/>
          <w:sz w:val="24"/>
          <w:szCs w:val="24"/>
          <w:bdr w:val="nil"/>
          <w:vertAlign w:val="superscript"/>
        </w:rPr>
      </w:pPr>
      <w:r w:rsidRPr="005733F5">
        <w:rPr>
          <w:rFonts w:ascii="Garamond" w:eastAsia="Arial Unicode MS" w:hAnsi="Garamond"/>
          <w:b/>
          <w:sz w:val="24"/>
          <w:szCs w:val="24"/>
          <w:bdr w:val="nil"/>
        </w:rPr>
        <w:t>Müşerref Duygu Saçar Demirci</w:t>
      </w:r>
      <w:r w:rsidRPr="005733F5">
        <w:rPr>
          <w:rFonts w:ascii="Garamond" w:eastAsia="Arial Unicode MS" w:hAnsi="Garamond"/>
          <w:b/>
          <w:sz w:val="24"/>
          <w:szCs w:val="24"/>
          <w:bdr w:val="nil"/>
          <w:vertAlign w:val="superscript"/>
        </w:rPr>
        <w:t>1</w:t>
      </w:r>
      <w:r w:rsidRPr="005733F5">
        <w:rPr>
          <w:rFonts w:ascii="Garamond" w:eastAsia="Arial Unicode MS" w:hAnsi="Garamond"/>
          <w:b/>
          <w:sz w:val="24"/>
          <w:szCs w:val="24"/>
          <w:bdr w:val="nil"/>
        </w:rPr>
        <w:t xml:space="preserve"> and Jens Allmer</w:t>
      </w:r>
      <w:r w:rsidRPr="005733F5">
        <w:rPr>
          <w:rFonts w:ascii="Garamond" w:eastAsia="Arial Unicode MS" w:hAnsi="Garamond"/>
          <w:b/>
          <w:sz w:val="24"/>
          <w:szCs w:val="24"/>
          <w:bdr w:val="nil"/>
          <w:vertAlign w:val="superscript"/>
        </w:rPr>
        <w:t>1</w:t>
      </w:r>
      <w:proofErr w:type="gramStart"/>
      <w:r w:rsidRPr="005733F5">
        <w:rPr>
          <w:rFonts w:ascii="Garamond" w:eastAsia="Arial Unicode MS" w:hAnsi="Garamond"/>
          <w:b/>
          <w:sz w:val="24"/>
          <w:szCs w:val="24"/>
          <w:bdr w:val="nil"/>
          <w:vertAlign w:val="superscript"/>
        </w:rPr>
        <w:t>,2</w:t>
      </w:r>
      <w:proofErr w:type="gramEnd"/>
    </w:p>
    <w:p w:rsidR="00CE38DF" w:rsidRPr="005733F5" w:rsidRDefault="00CE38DF" w:rsidP="005733F5">
      <w:pPr>
        <w:jc w:val="center"/>
        <w:rPr>
          <w:rFonts w:ascii="Garamond" w:eastAsia="Arial Unicode MS" w:hAnsi="Garamond"/>
          <w:sz w:val="12"/>
          <w:szCs w:val="12"/>
          <w:bdr w:val="nil"/>
        </w:rPr>
      </w:pPr>
    </w:p>
    <w:p w:rsidR="00CE38DF" w:rsidRPr="005733F5" w:rsidRDefault="00CE38DF" w:rsidP="005733F5">
      <w:pPr>
        <w:jc w:val="center"/>
        <w:rPr>
          <w:rFonts w:ascii="Garamond" w:eastAsia="Arial Unicode MS" w:hAnsi="Garamond" w:cs="Calibri"/>
          <w:sz w:val="24"/>
          <w:szCs w:val="24"/>
          <w:bdr w:val="nil"/>
        </w:rPr>
      </w:pPr>
      <w:r w:rsidRPr="005733F5">
        <w:rPr>
          <w:rFonts w:ascii="Garamond" w:eastAsia="Arial Unicode MS" w:hAnsi="Garamond" w:cs="Calibri"/>
          <w:sz w:val="24"/>
          <w:szCs w:val="24"/>
          <w:bdr w:val="nil"/>
          <w:vertAlign w:val="superscript"/>
        </w:rPr>
        <w:t>1</w:t>
      </w:r>
      <w:r w:rsidRPr="005733F5">
        <w:rPr>
          <w:rFonts w:ascii="Garamond" w:eastAsia="Arial Unicode MS" w:hAnsi="Garamond" w:cs="Calibri"/>
          <w:sz w:val="24"/>
          <w:szCs w:val="24"/>
          <w:bdr w:val="nil"/>
        </w:rPr>
        <w:t xml:space="preserve">Molecular Biology and Genetics, Izmir Institute of Technology, </w:t>
      </w:r>
      <w:proofErr w:type="spellStart"/>
      <w:r w:rsidRPr="005733F5">
        <w:rPr>
          <w:rFonts w:ascii="Garamond" w:eastAsia="Arial Unicode MS" w:hAnsi="Garamond" w:cs="Calibri"/>
          <w:sz w:val="24"/>
          <w:szCs w:val="24"/>
          <w:bdr w:val="nil"/>
        </w:rPr>
        <w:t>Urla</w:t>
      </w:r>
      <w:proofErr w:type="spellEnd"/>
      <w:r w:rsidRPr="005733F5">
        <w:rPr>
          <w:rFonts w:ascii="Garamond" w:eastAsia="Arial Unicode MS" w:hAnsi="Garamond" w:cs="Calibri"/>
          <w:sz w:val="24"/>
          <w:szCs w:val="24"/>
          <w:bdr w:val="nil"/>
        </w:rPr>
        <w:t>, Izmir, Turkey</w:t>
      </w:r>
      <w:r w:rsidRPr="005733F5">
        <w:rPr>
          <w:rFonts w:ascii="Garamond" w:eastAsia="Arial Unicode MS" w:hAnsi="Garamond" w:cs="Calibri"/>
          <w:sz w:val="24"/>
          <w:szCs w:val="24"/>
          <w:bdr w:val="nil"/>
        </w:rPr>
        <w:br/>
      </w:r>
      <w:r w:rsidRPr="005733F5">
        <w:rPr>
          <w:rFonts w:ascii="Garamond" w:eastAsia="Arial Unicode MS" w:hAnsi="Garamond" w:cs="Calibri"/>
          <w:sz w:val="24"/>
          <w:szCs w:val="24"/>
          <w:bdr w:val="nil"/>
          <w:vertAlign w:val="superscript"/>
        </w:rPr>
        <w:t>2</w:t>
      </w:r>
      <w:r w:rsidRPr="005733F5">
        <w:rPr>
          <w:rFonts w:ascii="Garamond" w:eastAsia="Arial Unicode MS" w:hAnsi="Garamond" w:cs="Calibri"/>
          <w:sz w:val="24"/>
          <w:szCs w:val="24"/>
          <w:bdr w:val="nil"/>
        </w:rPr>
        <w:t xml:space="preserve">Bionia Incorporated, IZTEKGEB A8, </w:t>
      </w:r>
      <w:proofErr w:type="spellStart"/>
      <w:r w:rsidRPr="005733F5">
        <w:rPr>
          <w:rFonts w:ascii="Garamond" w:eastAsia="Arial Unicode MS" w:hAnsi="Garamond" w:cs="Calibri"/>
          <w:sz w:val="24"/>
          <w:szCs w:val="24"/>
          <w:bdr w:val="nil"/>
        </w:rPr>
        <w:t>Urla</w:t>
      </w:r>
      <w:proofErr w:type="spellEnd"/>
      <w:r w:rsidRPr="005733F5">
        <w:rPr>
          <w:rFonts w:ascii="Garamond" w:eastAsia="Arial Unicode MS" w:hAnsi="Garamond" w:cs="Calibri"/>
          <w:sz w:val="24"/>
          <w:szCs w:val="24"/>
          <w:bdr w:val="nil"/>
        </w:rPr>
        <w:t>, Izmir, Turkey</w:t>
      </w:r>
    </w:p>
    <w:p w:rsidR="00CE38DF" w:rsidRPr="005733F5" w:rsidRDefault="00CE38DF" w:rsidP="005733F5">
      <w:pPr>
        <w:jc w:val="center"/>
        <w:rPr>
          <w:rFonts w:ascii="Garamond" w:hAnsi="Garamond"/>
          <w:sz w:val="24"/>
          <w:szCs w:val="24"/>
        </w:rPr>
      </w:pPr>
    </w:p>
    <w:p w:rsidR="005733F5" w:rsidRPr="005733F5" w:rsidRDefault="005733F5" w:rsidP="005733F5">
      <w:pPr>
        <w:jc w:val="center"/>
        <w:rPr>
          <w:rFonts w:ascii="Garamond" w:hAnsi="Garamond"/>
          <w:sz w:val="24"/>
          <w:szCs w:val="24"/>
        </w:rPr>
      </w:pPr>
    </w:p>
    <w:p w:rsidR="005733F5" w:rsidRPr="005733F5" w:rsidRDefault="005733F5" w:rsidP="005733F5">
      <w:pPr>
        <w:jc w:val="center"/>
        <w:rPr>
          <w:rFonts w:ascii="Garamond" w:hAnsi="Garamond"/>
          <w:sz w:val="24"/>
          <w:szCs w:val="24"/>
        </w:rPr>
      </w:pPr>
    </w:p>
    <w:p w:rsidR="00CE38DF" w:rsidRPr="005733F5" w:rsidRDefault="005733F5" w:rsidP="005733F5">
      <w:pPr>
        <w:jc w:val="center"/>
        <w:rPr>
          <w:rFonts w:ascii="Garamond" w:hAnsi="Garamond"/>
          <w:b/>
          <w:sz w:val="24"/>
          <w:szCs w:val="24"/>
        </w:rPr>
      </w:pPr>
      <w:r w:rsidRPr="005733F5">
        <w:rPr>
          <w:rFonts w:ascii="Garamond" w:hAnsi="Garamond"/>
          <w:b/>
          <w:sz w:val="24"/>
          <w:szCs w:val="24"/>
        </w:rPr>
        <w:t>Abstract</w:t>
      </w:r>
    </w:p>
    <w:p w:rsidR="005733F5" w:rsidRPr="005733F5" w:rsidRDefault="005733F5" w:rsidP="005733F5">
      <w:pPr>
        <w:rPr>
          <w:rFonts w:ascii="Garamond" w:hAnsi="Garamond"/>
          <w:sz w:val="24"/>
          <w:szCs w:val="24"/>
        </w:rPr>
      </w:pPr>
      <w:r w:rsidRPr="005733F5">
        <w:rPr>
          <w:rFonts w:ascii="Garamond" w:hAnsi="Garamond"/>
          <w:sz w:val="24"/>
          <w:szCs w:val="24"/>
        </w:rPr>
        <w:t>Gene regulation modulates RNA expression via transcription factors. Post-transcriptional gene regulation in turn influences the amount of protein product through, for example, microRNAs (miRNAs). Experimental establishment of miRNAs and their effects is complicated and even futile when aiming to establish the entirety of miRNA target interactions. Therefore, computational approaches have been proposed. Many such tools rely on machine learning (ML) which involves example selection, feature extraction, model training, algorithm selection, and parameter optimization. Different ML algorithms have been used for model training on various example sets, more than 1000 features describing pre-miRNAs have been proposed and different training and testing schemes have been used for model establishment. For pre-miRNA detection, negative examples cannot easily be established causing a problem for two class classification algorithms. There is also no consensus on what ML approach works best and, therefore, we set forth and established the impact of the different parts involved in ML on model performance. Furthermore, we established two new negative datasets and analyzed the impact of using them for training and testing. It was our aim to attach an order of importance to the parts involved in ML for pre-miRNA detection, but instead we found that all parts are intricately connected and their contributions cannot be easily untangled leading us to suggest that when attempting ML-based pre-miRNA detection many scenarios need to be explored.</w:t>
      </w:r>
    </w:p>
    <w:p w:rsidR="005733F5" w:rsidRPr="005733F5" w:rsidRDefault="005733F5">
      <w:pPr>
        <w:rPr>
          <w:rFonts w:ascii="Garamond" w:hAnsi="Garamond"/>
        </w:rPr>
      </w:pPr>
    </w:p>
    <w:p w:rsidR="00CE38DF" w:rsidRPr="005733F5" w:rsidRDefault="00CE38DF">
      <w:pPr>
        <w:rPr>
          <w:rFonts w:ascii="Garamond" w:hAnsi="Garamond"/>
        </w:rPr>
      </w:pPr>
      <w:r w:rsidRPr="005733F5">
        <w:rPr>
          <w:rFonts w:ascii="Garamond" w:hAnsi="Garamond"/>
        </w:rPr>
        <w:br w:type="page"/>
      </w:r>
    </w:p>
    <w:p w:rsidR="00A9186B" w:rsidRPr="005733F5" w:rsidRDefault="00CE38DF">
      <w:pPr>
        <w:rPr>
          <w:rFonts w:ascii="Garamond" w:hAnsi="Garamond"/>
        </w:rPr>
      </w:pPr>
      <w:r w:rsidRPr="005733F5">
        <w:rPr>
          <w:rFonts w:ascii="Garamond" w:hAnsi="Garamond"/>
          <w:noProof/>
        </w:rPr>
        <w:lastRenderedPageBreak/>
        <w:drawing>
          <wp:inline distT="0" distB="0" distL="0" distR="0" wp14:anchorId="3FB13CA5" wp14:editId="0D706541">
            <wp:extent cx="5972810" cy="3464560"/>
            <wp:effectExtent l="0" t="0" r="2794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E38DF" w:rsidRPr="005733F5" w:rsidRDefault="00CE38DF" w:rsidP="00CE38DF">
      <w:pPr>
        <w:pStyle w:val="Body"/>
        <w:rPr>
          <w:rFonts w:ascii="Garamond" w:hAnsi="Garamond"/>
        </w:rPr>
      </w:pPr>
      <w:r w:rsidRPr="005733F5">
        <w:rPr>
          <w:rFonts w:ascii="Garamond" w:hAnsi="Garamond"/>
        </w:rPr>
        <w:t xml:space="preserve">Figure </w:t>
      </w:r>
      <w:r w:rsidR="00E201BC" w:rsidRPr="005733F5">
        <w:rPr>
          <w:rFonts w:ascii="Garamond" w:hAnsi="Garamond"/>
        </w:rPr>
        <w:t>S</w:t>
      </w:r>
      <w:r w:rsidRPr="005733F5">
        <w:rPr>
          <w:rFonts w:ascii="Garamond" w:hAnsi="Garamond"/>
        </w:rPr>
        <w:t>1: Trends in ML algorithm applications on miRNA analysis based on Google Scholar results (December 2016)</w:t>
      </w:r>
      <w:r w:rsidR="00BE0F43" w:rsidRPr="005733F5">
        <w:rPr>
          <w:rFonts w:ascii="Garamond" w:hAnsi="Garamond"/>
        </w:rPr>
        <w:t>.</w:t>
      </w:r>
    </w:p>
    <w:p w:rsidR="00CE38DF" w:rsidRPr="005733F5" w:rsidRDefault="00CE38DF">
      <w:pPr>
        <w:rPr>
          <w:rFonts w:ascii="Garamond" w:eastAsia="Calibri" w:hAnsi="Garamond" w:cs="Calibri"/>
          <w:color w:val="000000"/>
          <w:sz w:val="22"/>
          <w:szCs w:val="22"/>
          <w:u w:color="000000"/>
          <w:bdr w:val="nil"/>
        </w:rPr>
      </w:pPr>
      <w:r w:rsidRPr="005733F5">
        <w:rPr>
          <w:rFonts w:ascii="Garamond" w:hAnsi="Garamond"/>
        </w:rPr>
        <w:br w:type="page"/>
      </w:r>
    </w:p>
    <w:p w:rsidR="00CE38DF" w:rsidRPr="005733F5" w:rsidRDefault="00CE38DF">
      <w:pPr>
        <w:rPr>
          <w:rFonts w:ascii="Garamond" w:hAnsi="Garamond"/>
        </w:rPr>
      </w:pPr>
      <w:r w:rsidRPr="005733F5">
        <w:rPr>
          <w:rFonts w:ascii="Garamond" w:hAnsi="Garamond"/>
          <w:noProof/>
        </w:rPr>
        <w:lastRenderedPageBreak/>
        <w:drawing>
          <wp:inline distT="0" distB="0" distL="0" distR="0" wp14:anchorId="2BE923E4" wp14:editId="2A129AED">
            <wp:extent cx="5974715" cy="3615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715" cy="3615055"/>
                    </a:xfrm>
                    <a:prstGeom prst="rect">
                      <a:avLst/>
                    </a:prstGeom>
                    <a:noFill/>
                  </pic:spPr>
                </pic:pic>
              </a:graphicData>
            </a:graphic>
          </wp:inline>
        </w:drawing>
      </w:r>
    </w:p>
    <w:p w:rsidR="00CE38DF" w:rsidRPr="005733F5" w:rsidRDefault="00CE38DF">
      <w:pPr>
        <w:rPr>
          <w:rFonts w:ascii="Garamond" w:hAnsi="Garamond"/>
        </w:rPr>
      </w:pPr>
      <w:r w:rsidRPr="005733F5">
        <w:rPr>
          <w:rFonts w:ascii="Garamond" w:hAnsi="Garamond"/>
        </w:rPr>
        <w:t xml:space="preserve">Figure </w:t>
      </w:r>
      <w:r w:rsidR="00E201BC" w:rsidRPr="005733F5">
        <w:rPr>
          <w:rFonts w:ascii="Garamond" w:hAnsi="Garamond"/>
        </w:rPr>
        <w:t>S</w:t>
      </w:r>
      <w:r w:rsidRPr="005733F5">
        <w:rPr>
          <w:rFonts w:ascii="Garamond" w:hAnsi="Garamond"/>
        </w:rPr>
        <w:t xml:space="preserve">2: RF performance based on all combinations of parameters. L, S, F stand for </w:t>
      </w:r>
      <w:proofErr w:type="spellStart"/>
      <w:r w:rsidRPr="005733F5">
        <w:rPr>
          <w:rFonts w:ascii="Garamond" w:hAnsi="Garamond"/>
        </w:rPr>
        <w:t>LowVarFS</w:t>
      </w:r>
      <w:proofErr w:type="spellEnd"/>
      <w:r w:rsidRPr="005733F5">
        <w:rPr>
          <w:rFonts w:ascii="Garamond" w:hAnsi="Garamond"/>
        </w:rPr>
        <w:t xml:space="preserve">, </w:t>
      </w:r>
      <w:proofErr w:type="spellStart"/>
      <w:r w:rsidRPr="005733F5">
        <w:rPr>
          <w:rFonts w:ascii="Garamond" w:hAnsi="Garamond"/>
        </w:rPr>
        <w:t>SlowFS</w:t>
      </w:r>
      <w:proofErr w:type="spellEnd"/>
      <w:r w:rsidRPr="005733F5">
        <w:rPr>
          <w:rFonts w:ascii="Garamond" w:hAnsi="Garamond"/>
        </w:rPr>
        <w:t xml:space="preserve"> and </w:t>
      </w:r>
      <w:proofErr w:type="spellStart"/>
      <w:r w:rsidRPr="005733F5">
        <w:rPr>
          <w:rFonts w:ascii="Garamond" w:hAnsi="Garamond"/>
        </w:rPr>
        <w:t>FastFS</w:t>
      </w:r>
      <w:proofErr w:type="spellEnd"/>
      <w:r w:rsidRPr="005733F5">
        <w:rPr>
          <w:rFonts w:ascii="Garamond" w:hAnsi="Garamond"/>
        </w:rPr>
        <w:t xml:space="preserve">, while CS, P and RS refer to </w:t>
      </w:r>
      <w:proofErr w:type="spellStart"/>
      <w:r w:rsidRPr="005733F5">
        <w:rPr>
          <w:rFonts w:ascii="Garamond" w:hAnsi="Garamond"/>
        </w:rPr>
        <w:t>ColShuf</w:t>
      </w:r>
      <w:proofErr w:type="spellEnd"/>
      <w:r w:rsidRPr="005733F5">
        <w:rPr>
          <w:rFonts w:ascii="Garamond" w:hAnsi="Garamond"/>
        </w:rPr>
        <w:t xml:space="preserve">, Pseudo and </w:t>
      </w:r>
      <w:proofErr w:type="spellStart"/>
      <w:r w:rsidRPr="005733F5">
        <w:rPr>
          <w:rFonts w:ascii="Garamond" w:hAnsi="Garamond"/>
        </w:rPr>
        <w:t>RowShuf</w:t>
      </w:r>
      <w:proofErr w:type="spellEnd"/>
      <w:r w:rsidRPr="005733F5">
        <w:rPr>
          <w:rFonts w:ascii="Garamond" w:hAnsi="Garamond"/>
        </w:rPr>
        <w:t>, respectively. Rectangles indicate the three negative datasets while positive datasets are indicated under the x-axis. Each box plot refers to 10 fold CV calculations.</w:t>
      </w:r>
    </w:p>
    <w:p w:rsidR="00CE38DF" w:rsidRPr="005733F5" w:rsidRDefault="00CE38DF">
      <w:pPr>
        <w:rPr>
          <w:rFonts w:ascii="Garamond" w:hAnsi="Garamond"/>
        </w:rPr>
      </w:pPr>
    </w:p>
    <w:p w:rsidR="00CE38DF" w:rsidRPr="005733F5" w:rsidRDefault="00CE38DF">
      <w:pPr>
        <w:rPr>
          <w:rFonts w:ascii="Garamond" w:hAnsi="Garamond"/>
        </w:rPr>
      </w:pPr>
      <w:r w:rsidRPr="005733F5">
        <w:rPr>
          <w:rFonts w:ascii="Garamond" w:hAnsi="Garamond"/>
        </w:rPr>
        <w:br w:type="page"/>
      </w:r>
    </w:p>
    <w:p w:rsidR="00CE38DF" w:rsidRPr="005733F5" w:rsidRDefault="00CE38DF">
      <w:pPr>
        <w:rPr>
          <w:rFonts w:ascii="Garamond" w:hAnsi="Garamond"/>
        </w:rPr>
      </w:pPr>
      <w:r w:rsidRPr="005733F5">
        <w:rPr>
          <w:rFonts w:ascii="Garamond" w:hAnsi="Garamond"/>
          <w:noProof/>
        </w:rPr>
        <w:lastRenderedPageBreak/>
        <w:drawing>
          <wp:inline distT="0" distB="0" distL="0" distR="0" wp14:anchorId="26CE394F" wp14:editId="507962EA">
            <wp:extent cx="5974715" cy="3096895"/>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715" cy="3096895"/>
                    </a:xfrm>
                    <a:prstGeom prst="rect">
                      <a:avLst/>
                    </a:prstGeom>
                    <a:noFill/>
                  </pic:spPr>
                </pic:pic>
              </a:graphicData>
            </a:graphic>
          </wp:inline>
        </w:drawing>
      </w:r>
    </w:p>
    <w:p w:rsidR="00CE38DF" w:rsidRPr="005733F5" w:rsidRDefault="00CE38DF">
      <w:pPr>
        <w:rPr>
          <w:rFonts w:ascii="Garamond" w:hAnsi="Garamond"/>
        </w:rPr>
      </w:pPr>
      <w:r w:rsidRPr="005733F5">
        <w:rPr>
          <w:rFonts w:ascii="Garamond" w:hAnsi="Garamond"/>
        </w:rPr>
        <w:t xml:space="preserve">Figure </w:t>
      </w:r>
      <w:r w:rsidR="00E201BC" w:rsidRPr="005733F5">
        <w:rPr>
          <w:rFonts w:ascii="Garamond" w:hAnsi="Garamond"/>
        </w:rPr>
        <w:t>S</w:t>
      </w:r>
      <w:r w:rsidRPr="005733F5">
        <w:rPr>
          <w:rFonts w:ascii="Garamond" w:hAnsi="Garamond"/>
        </w:rPr>
        <w:t xml:space="preserve">3: RF performance based on all combinations of parameters. L, S, F stand for </w:t>
      </w:r>
      <w:proofErr w:type="spellStart"/>
      <w:r w:rsidRPr="005733F5">
        <w:rPr>
          <w:rFonts w:ascii="Garamond" w:hAnsi="Garamond"/>
        </w:rPr>
        <w:t>LowVarFS</w:t>
      </w:r>
      <w:proofErr w:type="spellEnd"/>
      <w:r w:rsidRPr="005733F5">
        <w:rPr>
          <w:rFonts w:ascii="Garamond" w:hAnsi="Garamond"/>
        </w:rPr>
        <w:t xml:space="preserve">, </w:t>
      </w:r>
      <w:proofErr w:type="spellStart"/>
      <w:r w:rsidRPr="005733F5">
        <w:rPr>
          <w:rFonts w:ascii="Garamond" w:hAnsi="Garamond"/>
        </w:rPr>
        <w:t>SlowFS</w:t>
      </w:r>
      <w:proofErr w:type="spellEnd"/>
      <w:r w:rsidRPr="005733F5">
        <w:rPr>
          <w:rFonts w:ascii="Garamond" w:hAnsi="Garamond"/>
        </w:rPr>
        <w:t xml:space="preserve"> and </w:t>
      </w:r>
      <w:proofErr w:type="spellStart"/>
      <w:r w:rsidRPr="005733F5">
        <w:rPr>
          <w:rFonts w:ascii="Garamond" w:hAnsi="Garamond"/>
        </w:rPr>
        <w:t>FastFS</w:t>
      </w:r>
      <w:proofErr w:type="spellEnd"/>
      <w:r w:rsidRPr="005733F5">
        <w:rPr>
          <w:rFonts w:ascii="Garamond" w:hAnsi="Garamond"/>
        </w:rPr>
        <w:t xml:space="preserve">, while CS, P and RS refer to </w:t>
      </w:r>
      <w:proofErr w:type="spellStart"/>
      <w:r w:rsidRPr="005733F5">
        <w:rPr>
          <w:rFonts w:ascii="Garamond" w:hAnsi="Garamond"/>
        </w:rPr>
        <w:t>ColShuf</w:t>
      </w:r>
      <w:proofErr w:type="spellEnd"/>
      <w:r w:rsidRPr="005733F5">
        <w:rPr>
          <w:rFonts w:ascii="Garamond" w:hAnsi="Garamond"/>
        </w:rPr>
        <w:t xml:space="preserve">, Pseudo and </w:t>
      </w:r>
      <w:proofErr w:type="spellStart"/>
      <w:r w:rsidRPr="005733F5">
        <w:rPr>
          <w:rFonts w:ascii="Garamond" w:hAnsi="Garamond"/>
        </w:rPr>
        <w:t>RowShuf</w:t>
      </w:r>
      <w:proofErr w:type="spellEnd"/>
      <w:r w:rsidRPr="005733F5">
        <w:rPr>
          <w:rFonts w:ascii="Garamond" w:hAnsi="Garamond"/>
        </w:rPr>
        <w:t>, respectively. Rectangles indicate the three negative datasets while positive datasets are indicated under the x-axis. Each box plot refers to 100fold MCCV calculations.</w:t>
      </w:r>
    </w:p>
    <w:p w:rsidR="00CE38DF" w:rsidRPr="005733F5" w:rsidRDefault="00CE38DF">
      <w:pPr>
        <w:rPr>
          <w:rFonts w:ascii="Garamond" w:hAnsi="Garamond"/>
        </w:rPr>
      </w:pPr>
      <w:r w:rsidRPr="005733F5">
        <w:rPr>
          <w:rFonts w:ascii="Garamond" w:hAnsi="Garamond"/>
        </w:rPr>
        <w:br w:type="page"/>
      </w:r>
    </w:p>
    <w:p w:rsidR="00CE38DF" w:rsidRPr="005733F5" w:rsidRDefault="00CE38DF">
      <w:pPr>
        <w:rPr>
          <w:rFonts w:ascii="Garamond" w:hAnsi="Garamond"/>
        </w:rPr>
      </w:pPr>
      <w:r w:rsidRPr="005733F5">
        <w:rPr>
          <w:rFonts w:ascii="Garamond" w:hAnsi="Garamond"/>
          <w:noProof/>
        </w:rPr>
        <w:lastRenderedPageBreak/>
        <w:drawing>
          <wp:inline distT="0" distB="0" distL="0" distR="0" wp14:anchorId="5BD49554" wp14:editId="0571AE0E">
            <wp:extent cx="5974715" cy="316992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715" cy="3169920"/>
                    </a:xfrm>
                    <a:prstGeom prst="rect">
                      <a:avLst/>
                    </a:prstGeom>
                    <a:noFill/>
                  </pic:spPr>
                </pic:pic>
              </a:graphicData>
            </a:graphic>
          </wp:inline>
        </w:drawing>
      </w:r>
    </w:p>
    <w:p w:rsidR="00CE38DF" w:rsidRPr="005733F5" w:rsidRDefault="00CE38DF">
      <w:pPr>
        <w:rPr>
          <w:rFonts w:ascii="Garamond" w:hAnsi="Garamond"/>
        </w:rPr>
      </w:pPr>
      <w:r w:rsidRPr="005733F5">
        <w:rPr>
          <w:rFonts w:ascii="Garamond" w:hAnsi="Garamond"/>
        </w:rPr>
        <w:t xml:space="preserve">Figure </w:t>
      </w:r>
      <w:r w:rsidR="00E201BC" w:rsidRPr="005733F5">
        <w:rPr>
          <w:rFonts w:ascii="Garamond" w:hAnsi="Garamond"/>
        </w:rPr>
        <w:t>S</w:t>
      </w:r>
      <w:r w:rsidRPr="005733F5">
        <w:rPr>
          <w:rFonts w:ascii="Garamond" w:hAnsi="Garamond"/>
        </w:rPr>
        <w:t xml:space="preserve">4: RF performance based on all combinations of parameters. L, S, F stand for </w:t>
      </w:r>
      <w:proofErr w:type="spellStart"/>
      <w:r w:rsidRPr="005733F5">
        <w:rPr>
          <w:rFonts w:ascii="Garamond" w:hAnsi="Garamond"/>
        </w:rPr>
        <w:t>LowVarFS</w:t>
      </w:r>
      <w:proofErr w:type="spellEnd"/>
      <w:r w:rsidRPr="005733F5">
        <w:rPr>
          <w:rFonts w:ascii="Garamond" w:hAnsi="Garamond"/>
        </w:rPr>
        <w:t xml:space="preserve">, </w:t>
      </w:r>
      <w:proofErr w:type="spellStart"/>
      <w:r w:rsidRPr="005733F5">
        <w:rPr>
          <w:rFonts w:ascii="Garamond" w:hAnsi="Garamond"/>
        </w:rPr>
        <w:t>SlowFS</w:t>
      </w:r>
      <w:proofErr w:type="spellEnd"/>
      <w:r w:rsidRPr="005733F5">
        <w:rPr>
          <w:rFonts w:ascii="Garamond" w:hAnsi="Garamond"/>
        </w:rPr>
        <w:t xml:space="preserve"> and </w:t>
      </w:r>
      <w:proofErr w:type="spellStart"/>
      <w:r w:rsidRPr="005733F5">
        <w:rPr>
          <w:rFonts w:ascii="Garamond" w:hAnsi="Garamond"/>
        </w:rPr>
        <w:t>FastFS</w:t>
      </w:r>
      <w:proofErr w:type="spellEnd"/>
      <w:r w:rsidRPr="005733F5">
        <w:rPr>
          <w:rFonts w:ascii="Garamond" w:hAnsi="Garamond"/>
        </w:rPr>
        <w:t xml:space="preserve">, while CS, P and RS refer to </w:t>
      </w:r>
      <w:proofErr w:type="spellStart"/>
      <w:r w:rsidRPr="005733F5">
        <w:rPr>
          <w:rFonts w:ascii="Garamond" w:hAnsi="Garamond"/>
        </w:rPr>
        <w:t>ColShuf</w:t>
      </w:r>
      <w:proofErr w:type="spellEnd"/>
      <w:r w:rsidRPr="005733F5">
        <w:rPr>
          <w:rFonts w:ascii="Garamond" w:hAnsi="Garamond"/>
        </w:rPr>
        <w:t xml:space="preserve">, Pseudo and </w:t>
      </w:r>
      <w:proofErr w:type="spellStart"/>
      <w:r w:rsidRPr="005733F5">
        <w:rPr>
          <w:rFonts w:ascii="Garamond" w:hAnsi="Garamond"/>
        </w:rPr>
        <w:t>RowShuf</w:t>
      </w:r>
      <w:proofErr w:type="spellEnd"/>
      <w:r w:rsidRPr="005733F5">
        <w:rPr>
          <w:rFonts w:ascii="Garamond" w:hAnsi="Garamond"/>
        </w:rPr>
        <w:t>, respectively. Rectangles indicate the three negative datasets while positive datasets are indicated under the x-axis. Each box plot refers to 10fold CV calculations.</w:t>
      </w:r>
    </w:p>
    <w:p w:rsidR="00CE38DF" w:rsidRPr="005733F5" w:rsidRDefault="00CE38DF">
      <w:pPr>
        <w:rPr>
          <w:rFonts w:ascii="Garamond" w:hAnsi="Garamond"/>
        </w:rPr>
      </w:pPr>
      <w:r w:rsidRPr="005733F5">
        <w:rPr>
          <w:rFonts w:ascii="Garamond" w:hAnsi="Garamond"/>
        </w:rPr>
        <w:br w:type="page"/>
      </w:r>
    </w:p>
    <w:p w:rsidR="00CE38DF" w:rsidRPr="005733F5" w:rsidRDefault="00CE38DF">
      <w:pPr>
        <w:rPr>
          <w:rFonts w:ascii="Garamond" w:hAnsi="Garamond"/>
        </w:rPr>
      </w:pPr>
      <w:r w:rsidRPr="005733F5">
        <w:rPr>
          <w:rFonts w:ascii="Garamond" w:hAnsi="Garamond"/>
          <w:noProof/>
        </w:rPr>
        <w:lastRenderedPageBreak/>
        <w:drawing>
          <wp:inline distT="0" distB="0" distL="0" distR="0" wp14:anchorId="752F1032" wp14:editId="298D4873">
            <wp:extent cx="5377180" cy="3225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7180" cy="3225165"/>
                    </a:xfrm>
                    <a:prstGeom prst="rect">
                      <a:avLst/>
                    </a:prstGeom>
                    <a:noFill/>
                  </pic:spPr>
                </pic:pic>
              </a:graphicData>
            </a:graphic>
          </wp:inline>
        </w:drawing>
      </w:r>
    </w:p>
    <w:p w:rsidR="00CE38DF" w:rsidRPr="005733F5" w:rsidRDefault="00CE38DF" w:rsidP="00CE38DF">
      <w:pPr>
        <w:rPr>
          <w:rFonts w:ascii="Garamond" w:hAnsi="Garamond"/>
        </w:rPr>
      </w:pPr>
      <w:r w:rsidRPr="005733F5">
        <w:rPr>
          <w:rFonts w:ascii="Garamond" w:hAnsi="Garamond"/>
        </w:rPr>
        <w:t xml:space="preserve">Figure </w:t>
      </w:r>
      <w:r w:rsidR="00E201BC" w:rsidRPr="005733F5">
        <w:rPr>
          <w:rFonts w:ascii="Garamond" w:hAnsi="Garamond"/>
        </w:rPr>
        <w:t>S</w:t>
      </w:r>
      <w:r w:rsidRPr="005733F5">
        <w:rPr>
          <w:rFonts w:ascii="Garamond" w:hAnsi="Garamond"/>
        </w:rPr>
        <w:t xml:space="preserve">5: NB performance based on all combinations of parameters. L, S, F stand for </w:t>
      </w:r>
      <w:proofErr w:type="spellStart"/>
      <w:r w:rsidRPr="005733F5">
        <w:rPr>
          <w:rFonts w:ascii="Garamond" w:hAnsi="Garamond"/>
        </w:rPr>
        <w:t>LowVarFS</w:t>
      </w:r>
      <w:proofErr w:type="spellEnd"/>
      <w:r w:rsidRPr="005733F5">
        <w:rPr>
          <w:rFonts w:ascii="Garamond" w:hAnsi="Garamond"/>
        </w:rPr>
        <w:t xml:space="preserve">, </w:t>
      </w:r>
      <w:proofErr w:type="spellStart"/>
      <w:r w:rsidRPr="005733F5">
        <w:rPr>
          <w:rFonts w:ascii="Garamond" w:hAnsi="Garamond"/>
        </w:rPr>
        <w:t>SlowFS</w:t>
      </w:r>
      <w:proofErr w:type="spellEnd"/>
      <w:r w:rsidRPr="005733F5">
        <w:rPr>
          <w:rFonts w:ascii="Garamond" w:hAnsi="Garamond"/>
        </w:rPr>
        <w:t xml:space="preserve"> and </w:t>
      </w:r>
      <w:proofErr w:type="spellStart"/>
      <w:r w:rsidRPr="005733F5">
        <w:rPr>
          <w:rFonts w:ascii="Garamond" w:hAnsi="Garamond"/>
        </w:rPr>
        <w:t>FastFS</w:t>
      </w:r>
      <w:proofErr w:type="spellEnd"/>
      <w:r w:rsidRPr="005733F5">
        <w:rPr>
          <w:rFonts w:ascii="Garamond" w:hAnsi="Garamond"/>
        </w:rPr>
        <w:t xml:space="preserve">, while CS, P and RS refer to </w:t>
      </w:r>
      <w:proofErr w:type="spellStart"/>
      <w:r w:rsidRPr="005733F5">
        <w:rPr>
          <w:rFonts w:ascii="Garamond" w:hAnsi="Garamond"/>
        </w:rPr>
        <w:t>ColShuf</w:t>
      </w:r>
      <w:proofErr w:type="spellEnd"/>
      <w:r w:rsidRPr="005733F5">
        <w:rPr>
          <w:rFonts w:ascii="Garamond" w:hAnsi="Garamond"/>
        </w:rPr>
        <w:t xml:space="preserve">, Pseudo and </w:t>
      </w:r>
      <w:proofErr w:type="spellStart"/>
      <w:r w:rsidRPr="005733F5">
        <w:rPr>
          <w:rFonts w:ascii="Garamond" w:hAnsi="Garamond"/>
        </w:rPr>
        <w:t>RowShuf</w:t>
      </w:r>
      <w:proofErr w:type="spellEnd"/>
      <w:r w:rsidRPr="005733F5">
        <w:rPr>
          <w:rFonts w:ascii="Garamond" w:hAnsi="Garamond"/>
        </w:rPr>
        <w:t>, respectively. Rectangles indicate the three negative datasets while positive datasets are indicated under the x-axis. Each box plot refers to 100fold MCCV calculations.</w:t>
      </w:r>
    </w:p>
    <w:p w:rsidR="00CE38DF" w:rsidRPr="005733F5" w:rsidRDefault="00CE38DF">
      <w:pPr>
        <w:rPr>
          <w:rFonts w:ascii="Garamond" w:hAnsi="Garamond"/>
        </w:rPr>
      </w:pPr>
      <w:r w:rsidRPr="005733F5">
        <w:rPr>
          <w:rFonts w:ascii="Garamond" w:hAnsi="Garamond"/>
        </w:rPr>
        <w:br w:type="page"/>
      </w:r>
    </w:p>
    <w:p w:rsidR="00CE38DF" w:rsidRPr="005733F5" w:rsidRDefault="00CE38DF">
      <w:pPr>
        <w:rPr>
          <w:rFonts w:ascii="Garamond" w:hAnsi="Garamond"/>
        </w:rPr>
      </w:pPr>
      <w:r w:rsidRPr="005733F5">
        <w:rPr>
          <w:rFonts w:ascii="Garamond" w:hAnsi="Garamond"/>
          <w:noProof/>
        </w:rPr>
        <w:lastRenderedPageBreak/>
        <w:drawing>
          <wp:inline distT="0" distB="0" distL="0" distR="0" wp14:anchorId="2C21280A" wp14:editId="0F09CD52">
            <wp:extent cx="5370830" cy="32067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0830" cy="3206750"/>
                    </a:xfrm>
                    <a:prstGeom prst="rect">
                      <a:avLst/>
                    </a:prstGeom>
                    <a:noFill/>
                  </pic:spPr>
                </pic:pic>
              </a:graphicData>
            </a:graphic>
          </wp:inline>
        </w:drawing>
      </w:r>
    </w:p>
    <w:p w:rsidR="00CE38DF" w:rsidRPr="005733F5" w:rsidRDefault="00CE38DF">
      <w:pPr>
        <w:rPr>
          <w:rFonts w:ascii="Garamond" w:hAnsi="Garamond"/>
        </w:rPr>
      </w:pPr>
      <w:r w:rsidRPr="005733F5">
        <w:rPr>
          <w:rFonts w:ascii="Garamond" w:hAnsi="Garamond"/>
        </w:rPr>
        <w:t xml:space="preserve">Figure </w:t>
      </w:r>
      <w:r w:rsidR="00E201BC" w:rsidRPr="005733F5">
        <w:rPr>
          <w:rFonts w:ascii="Garamond" w:hAnsi="Garamond"/>
        </w:rPr>
        <w:t>S</w:t>
      </w:r>
      <w:r w:rsidRPr="005733F5">
        <w:rPr>
          <w:rFonts w:ascii="Garamond" w:hAnsi="Garamond"/>
        </w:rPr>
        <w:t xml:space="preserve">6: NB performance based on all combinations of parameters. L, S, F stand for </w:t>
      </w:r>
      <w:proofErr w:type="spellStart"/>
      <w:r w:rsidRPr="005733F5">
        <w:rPr>
          <w:rFonts w:ascii="Garamond" w:hAnsi="Garamond"/>
        </w:rPr>
        <w:t>LowVarFS</w:t>
      </w:r>
      <w:proofErr w:type="spellEnd"/>
      <w:r w:rsidRPr="005733F5">
        <w:rPr>
          <w:rFonts w:ascii="Garamond" w:hAnsi="Garamond"/>
        </w:rPr>
        <w:t xml:space="preserve">, </w:t>
      </w:r>
      <w:proofErr w:type="spellStart"/>
      <w:r w:rsidRPr="005733F5">
        <w:rPr>
          <w:rFonts w:ascii="Garamond" w:hAnsi="Garamond"/>
        </w:rPr>
        <w:t>SlowFS</w:t>
      </w:r>
      <w:proofErr w:type="spellEnd"/>
      <w:r w:rsidRPr="005733F5">
        <w:rPr>
          <w:rFonts w:ascii="Garamond" w:hAnsi="Garamond"/>
        </w:rPr>
        <w:t xml:space="preserve"> and </w:t>
      </w:r>
      <w:proofErr w:type="spellStart"/>
      <w:r w:rsidRPr="005733F5">
        <w:rPr>
          <w:rFonts w:ascii="Garamond" w:hAnsi="Garamond"/>
        </w:rPr>
        <w:t>FastFS</w:t>
      </w:r>
      <w:proofErr w:type="spellEnd"/>
      <w:r w:rsidRPr="005733F5">
        <w:rPr>
          <w:rFonts w:ascii="Garamond" w:hAnsi="Garamond"/>
        </w:rPr>
        <w:t xml:space="preserve">, while CS, P and RS refer to </w:t>
      </w:r>
      <w:proofErr w:type="spellStart"/>
      <w:r w:rsidRPr="005733F5">
        <w:rPr>
          <w:rFonts w:ascii="Garamond" w:hAnsi="Garamond"/>
        </w:rPr>
        <w:t>ColShuf</w:t>
      </w:r>
      <w:proofErr w:type="spellEnd"/>
      <w:r w:rsidRPr="005733F5">
        <w:rPr>
          <w:rFonts w:ascii="Garamond" w:hAnsi="Garamond"/>
        </w:rPr>
        <w:t xml:space="preserve">, Pseudo and </w:t>
      </w:r>
      <w:proofErr w:type="spellStart"/>
      <w:r w:rsidRPr="005733F5">
        <w:rPr>
          <w:rFonts w:ascii="Garamond" w:hAnsi="Garamond"/>
        </w:rPr>
        <w:t>RowShuf</w:t>
      </w:r>
      <w:proofErr w:type="spellEnd"/>
      <w:r w:rsidRPr="005733F5">
        <w:rPr>
          <w:rFonts w:ascii="Garamond" w:hAnsi="Garamond"/>
        </w:rPr>
        <w:t>, respectively. Rectangles indicate the three negative datasets while positive datasets are indicated under the x-axis. Each box plot refers to 100fold MCCV calculations.</w:t>
      </w:r>
    </w:p>
    <w:p w:rsidR="00CE38DF" w:rsidRPr="005733F5" w:rsidRDefault="00CE38DF">
      <w:pPr>
        <w:rPr>
          <w:rFonts w:ascii="Garamond" w:hAnsi="Garamond"/>
        </w:rPr>
      </w:pPr>
      <w:r w:rsidRPr="005733F5">
        <w:rPr>
          <w:rFonts w:ascii="Garamond" w:hAnsi="Garamond"/>
        </w:rPr>
        <w:br w:type="page"/>
      </w:r>
    </w:p>
    <w:p w:rsidR="00CE38DF" w:rsidRPr="005733F5" w:rsidRDefault="00CE38DF">
      <w:pPr>
        <w:rPr>
          <w:rFonts w:ascii="Garamond" w:hAnsi="Garamond"/>
        </w:rPr>
      </w:pPr>
      <w:r w:rsidRPr="005733F5">
        <w:rPr>
          <w:rFonts w:ascii="Garamond" w:hAnsi="Garamond"/>
          <w:noProof/>
        </w:rPr>
        <w:lastRenderedPageBreak/>
        <w:drawing>
          <wp:inline distT="0" distB="0" distL="0" distR="0" wp14:anchorId="0616736C" wp14:editId="2656A54B">
            <wp:extent cx="5358765" cy="3157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8765" cy="3157855"/>
                    </a:xfrm>
                    <a:prstGeom prst="rect">
                      <a:avLst/>
                    </a:prstGeom>
                    <a:noFill/>
                  </pic:spPr>
                </pic:pic>
              </a:graphicData>
            </a:graphic>
          </wp:inline>
        </w:drawing>
      </w:r>
    </w:p>
    <w:p w:rsidR="00CE38DF" w:rsidRPr="005733F5" w:rsidRDefault="00CE38DF">
      <w:pPr>
        <w:rPr>
          <w:rFonts w:ascii="Garamond" w:hAnsi="Garamond"/>
        </w:rPr>
      </w:pPr>
      <w:r w:rsidRPr="005733F5">
        <w:rPr>
          <w:rFonts w:ascii="Garamond" w:hAnsi="Garamond"/>
        </w:rPr>
        <w:t xml:space="preserve">Figure </w:t>
      </w:r>
      <w:r w:rsidR="00E201BC" w:rsidRPr="005733F5">
        <w:rPr>
          <w:rFonts w:ascii="Garamond" w:hAnsi="Garamond"/>
        </w:rPr>
        <w:t>S</w:t>
      </w:r>
      <w:r w:rsidRPr="005733F5">
        <w:rPr>
          <w:rFonts w:ascii="Garamond" w:hAnsi="Garamond"/>
        </w:rPr>
        <w:t xml:space="preserve">7: OCC performance based on all combinations of parameters. L, S, F stand for </w:t>
      </w:r>
      <w:proofErr w:type="spellStart"/>
      <w:r w:rsidRPr="005733F5">
        <w:rPr>
          <w:rFonts w:ascii="Garamond" w:hAnsi="Garamond"/>
        </w:rPr>
        <w:t>LowVarFS</w:t>
      </w:r>
      <w:proofErr w:type="spellEnd"/>
      <w:r w:rsidRPr="005733F5">
        <w:rPr>
          <w:rFonts w:ascii="Garamond" w:hAnsi="Garamond"/>
        </w:rPr>
        <w:t xml:space="preserve">, </w:t>
      </w:r>
      <w:proofErr w:type="spellStart"/>
      <w:r w:rsidRPr="005733F5">
        <w:rPr>
          <w:rFonts w:ascii="Garamond" w:hAnsi="Garamond"/>
        </w:rPr>
        <w:t>SlowFS</w:t>
      </w:r>
      <w:proofErr w:type="spellEnd"/>
      <w:r w:rsidRPr="005733F5">
        <w:rPr>
          <w:rFonts w:ascii="Garamond" w:hAnsi="Garamond"/>
        </w:rPr>
        <w:t xml:space="preserve"> and </w:t>
      </w:r>
      <w:proofErr w:type="spellStart"/>
      <w:r w:rsidRPr="005733F5">
        <w:rPr>
          <w:rFonts w:ascii="Garamond" w:hAnsi="Garamond"/>
        </w:rPr>
        <w:t>FastFS</w:t>
      </w:r>
      <w:proofErr w:type="spellEnd"/>
      <w:r w:rsidRPr="005733F5">
        <w:rPr>
          <w:rFonts w:ascii="Garamond" w:hAnsi="Garamond"/>
        </w:rPr>
        <w:t xml:space="preserve">, while CS, P and RS refer to </w:t>
      </w:r>
      <w:proofErr w:type="spellStart"/>
      <w:r w:rsidRPr="005733F5">
        <w:rPr>
          <w:rFonts w:ascii="Garamond" w:hAnsi="Garamond"/>
        </w:rPr>
        <w:t>ColShuf</w:t>
      </w:r>
      <w:proofErr w:type="spellEnd"/>
      <w:r w:rsidRPr="005733F5">
        <w:rPr>
          <w:rFonts w:ascii="Garamond" w:hAnsi="Garamond"/>
        </w:rPr>
        <w:t xml:space="preserve">, Pseudo and </w:t>
      </w:r>
      <w:proofErr w:type="spellStart"/>
      <w:r w:rsidRPr="005733F5">
        <w:rPr>
          <w:rFonts w:ascii="Garamond" w:hAnsi="Garamond"/>
        </w:rPr>
        <w:t>RowShuf</w:t>
      </w:r>
      <w:proofErr w:type="spellEnd"/>
      <w:r w:rsidRPr="005733F5">
        <w:rPr>
          <w:rFonts w:ascii="Garamond" w:hAnsi="Garamond"/>
        </w:rPr>
        <w:t>, respectively. Rectangles indicate the three negative datasets while positive datasets are indicated under the x-axis. Each box plot refers to 100fold MCCV calculations.</w:t>
      </w:r>
    </w:p>
    <w:p w:rsidR="00CE38DF" w:rsidRPr="005733F5" w:rsidRDefault="00CE38DF">
      <w:pPr>
        <w:rPr>
          <w:rFonts w:ascii="Garamond" w:hAnsi="Garamond"/>
        </w:rPr>
      </w:pPr>
      <w:r w:rsidRPr="005733F5">
        <w:rPr>
          <w:rFonts w:ascii="Garamond" w:hAnsi="Garamond"/>
        </w:rPr>
        <w:br w:type="page"/>
      </w:r>
    </w:p>
    <w:p w:rsidR="00CE38DF" w:rsidRPr="005733F5" w:rsidRDefault="00CE38DF">
      <w:pPr>
        <w:rPr>
          <w:rFonts w:ascii="Garamond" w:hAnsi="Garamond"/>
        </w:rPr>
      </w:pPr>
      <w:r w:rsidRPr="005733F5">
        <w:rPr>
          <w:rFonts w:ascii="Garamond" w:hAnsi="Garamond"/>
          <w:noProof/>
        </w:rPr>
        <w:lastRenderedPageBreak/>
        <w:drawing>
          <wp:inline distT="0" distB="0" distL="0" distR="0" wp14:anchorId="650FE46B" wp14:editId="2DBAC339">
            <wp:extent cx="5365115" cy="32004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5115" cy="3200400"/>
                    </a:xfrm>
                    <a:prstGeom prst="rect">
                      <a:avLst/>
                    </a:prstGeom>
                    <a:noFill/>
                  </pic:spPr>
                </pic:pic>
              </a:graphicData>
            </a:graphic>
          </wp:inline>
        </w:drawing>
      </w:r>
    </w:p>
    <w:p w:rsidR="00CE38DF" w:rsidRPr="005733F5" w:rsidRDefault="00CE38DF">
      <w:pPr>
        <w:rPr>
          <w:rFonts w:ascii="Garamond" w:hAnsi="Garamond"/>
        </w:rPr>
      </w:pPr>
      <w:r w:rsidRPr="005733F5">
        <w:rPr>
          <w:rFonts w:ascii="Garamond" w:hAnsi="Garamond"/>
        </w:rPr>
        <w:t xml:space="preserve">Figure </w:t>
      </w:r>
      <w:r w:rsidR="00E201BC" w:rsidRPr="005733F5">
        <w:rPr>
          <w:rFonts w:ascii="Garamond" w:hAnsi="Garamond"/>
        </w:rPr>
        <w:t>S</w:t>
      </w:r>
      <w:r w:rsidRPr="005733F5">
        <w:rPr>
          <w:rFonts w:ascii="Garamond" w:hAnsi="Garamond"/>
        </w:rPr>
        <w:t xml:space="preserve">8: OCC performance based on all combinations of parameters. L, S, F stand for </w:t>
      </w:r>
      <w:proofErr w:type="spellStart"/>
      <w:r w:rsidRPr="005733F5">
        <w:rPr>
          <w:rFonts w:ascii="Garamond" w:hAnsi="Garamond"/>
        </w:rPr>
        <w:t>LowVarFS</w:t>
      </w:r>
      <w:proofErr w:type="spellEnd"/>
      <w:r w:rsidRPr="005733F5">
        <w:rPr>
          <w:rFonts w:ascii="Garamond" w:hAnsi="Garamond"/>
        </w:rPr>
        <w:t xml:space="preserve">, </w:t>
      </w:r>
      <w:proofErr w:type="spellStart"/>
      <w:r w:rsidRPr="005733F5">
        <w:rPr>
          <w:rFonts w:ascii="Garamond" w:hAnsi="Garamond"/>
        </w:rPr>
        <w:t>SlowFS</w:t>
      </w:r>
      <w:proofErr w:type="spellEnd"/>
      <w:r w:rsidRPr="005733F5">
        <w:rPr>
          <w:rFonts w:ascii="Garamond" w:hAnsi="Garamond"/>
        </w:rPr>
        <w:t xml:space="preserve"> and </w:t>
      </w:r>
      <w:proofErr w:type="spellStart"/>
      <w:r w:rsidRPr="005733F5">
        <w:rPr>
          <w:rFonts w:ascii="Garamond" w:hAnsi="Garamond"/>
        </w:rPr>
        <w:t>FastFS</w:t>
      </w:r>
      <w:proofErr w:type="spellEnd"/>
      <w:r w:rsidRPr="005733F5">
        <w:rPr>
          <w:rFonts w:ascii="Garamond" w:hAnsi="Garamond"/>
        </w:rPr>
        <w:t xml:space="preserve">, while CS, P and RS refer to </w:t>
      </w:r>
      <w:proofErr w:type="spellStart"/>
      <w:r w:rsidRPr="005733F5">
        <w:rPr>
          <w:rFonts w:ascii="Garamond" w:hAnsi="Garamond"/>
        </w:rPr>
        <w:t>ColShuf</w:t>
      </w:r>
      <w:proofErr w:type="spellEnd"/>
      <w:r w:rsidRPr="005733F5">
        <w:rPr>
          <w:rFonts w:ascii="Garamond" w:hAnsi="Garamond"/>
        </w:rPr>
        <w:t xml:space="preserve">, Pseudo and </w:t>
      </w:r>
      <w:proofErr w:type="spellStart"/>
      <w:r w:rsidRPr="005733F5">
        <w:rPr>
          <w:rFonts w:ascii="Garamond" w:hAnsi="Garamond"/>
        </w:rPr>
        <w:t>RowShuf</w:t>
      </w:r>
      <w:proofErr w:type="spellEnd"/>
      <w:r w:rsidRPr="005733F5">
        <w:rPr>
          <w:rFonts w:ascii="Garamond" w:hAnsi="Garamond"/>
        </w:rPr>
        <w:t>, respectively. Rectangles indicate the three negative datasets while positive datasets are indicated under the x-axis. Each box plot refers to 100fold MCCV calculations.</w:t>
      </w:r>
    </w:p>
    <w:p w:rsidR="004979B9" w:rsidRPr="005733F5" w:rsidRDefault="004979B9">
      <w:pPr>
        <w:rPr>
          <w:rFonts w:ascii="Garamond" w:hAnsi="Garamond"/>
        </w:rPr>
      </w:pPr>
    </w:p>
    <w:p w:rsidR="004979B9" w:rsidRPr="005733F5" w:rsidRDefault="004979B9">
      <w:pPr>
        <w:rPr>
          <w:rFonts w:ascii="Garamond" w:hAnsi="Garamond"/>
        </w:rPr>
      </w:pPr>
      <w:r w:rsidRPr="005733F5">
        <w:rPr>
          <w:rFonts w:ascii="Garamond" w:hAnsi="Garamond"/>
        </w:rPr>
        <w:br w:type="page"/>
      </w:r>
    </w:p>
    <w:p w:rsidR="004979B9" w:rsidRDefault="004979B9">
      <w:pPr>
        <w:rPr>
          <w:rStyle w:val="Hyperlink"/>
          <w:rFonts w:ascii="Garamond" w:hAnsi="Garamond"/>
        </w:rPr>
      </w:pPr>
      <w:r w:rsidRPr="005733F5">
        <w:rPr>
          <w:rFonts w:ascii="Garamond" w:hAnsi="Garamond"/>
        </w:rPr>
        <w:lastRenderedPageBreak/>
        <w:t xml:space="preserve">Table S1: Selected features for the three </w:t>
      </w:r>
      <w:r w:rsidRPr="005733F5">
        <w:rPr>
          <w:rFonts w:ascii="Garamond" w:hAnsi="Garamond"/>
          <w:i/>
        </w:rPr>
        <w:t>ad hoc</w:t>
      </w:r>
      <w:r w:rsidRPr="005733F5">
        <w:rPr>
          <w:rFonts w:ascii="Garamond" w:hAnsi="Garamond"/>
        </w:rPr>
        <w:t xml:space="preserve"> feature selection methods employed in this study. Features in the first group display a low variance and are probably not good for separating data into classes. </w:t>
      </w:r>
      <w:proofErr w:type="spellStart"/>
      <w:r w:rsidRPr="005733F5">
        <w:rPr>
          <w:rFonts w:ascii="Garamond" w:hAnsi="Garamond"/>
        </w:rPr>
        <w:t>SlowFS</w:t>
      </w:r>
      <w:proofErr w:type="spellEnd"/>
      <w:r w:rsidRPr="005733F5">
        <w:rPr>
          <w:rFonts w:ascii="Garamond" w:hAnsi="Garamond"/>
        </w:rPr>
        <w:t xml:space="preserve"> consists of features which are computationally expensive to calculate and are likely to be informative. </w:t>
      </w:r>
      <w:proofErr w:type="spellStart"/>
      <w:r w:rsidRPr="005733F5">
        <w:rPr>
          <w:rFonts w:ascii="Garamond" w:hAnsi="Garamond"/>
        </w:rPr>
        <w:t>FastFS</w:t>
      </w:r>
      <w:proofErr w:type="spellEnd"/>
      <w:r w:rsidRPr="005733F5">
        <w:rPr>
          <w:rFonts w:ascii="Garamond" w:hAnsi="Garamond"/>
        </w:rPr>
        <w:t xml:space="preserve"> contains features which are simple to calculate but not necessarily uninformative. They present the middle ground.</w:t>
      </w:r>
      <w:r w:rsidR="00965EB2">
        <w:rPr>
          <w:rFonts w:ascii="Garamond" w:hAnsi="Garamond"/>
        </w:rPr>
        <w:t xml:space="preserve"> </w:t>
      </w:r>
      <w:r w:rsidR="00965EB2">
        <w:rPr>
          <w:rFonts w:ascii="Garamond" w:hAnsi="Garamond"/>
        </w:rPr>
        <w:t xml:space="preserve">For more information about the features and to calculate them please see </w:t>
      </w:r>
      <w:hyperlink r:id="rId15" w:history="1">
        <w:r w:rsidR="00965EB2" w:rsidRPr="00905A38">
          <w:rPr>
            <w:rStyle w:val="Hyperlink"/>
            <w:rFonts w:ascii="Garamond" w:hAnsi="Garamond"/>
          </w:rPr>
          <w:t>http://jlab.iyte.edu.tr/software/mirna</w:t>
        </w:r>
      </w:hyperlink>
      <w:r w:rsidR="00965EB2">
        <w:rPr>
          <w:rStyle w:val="Hyperlink"/>
          <w:rFonts w:ascii="Garamond" w:hAnsi="Garamond"/>
        </w:rPr>
        <w:t>.</w:t>
      </w:r>
    </w:p>
    <w:p w:rsidR="00965EB2" w:rsidRPr="005733F5" w:rsidRDefault="00965EB2">
      <w:pPr>
        <w:rPr>
          <w:rFonts w:ascii="Garamond" w:hAnsi="Garamond"/>
        </w:rPr>
      </w:pPr>
      <w:bookmarkStart w:id="0" w:name="_GoBack"/>
      <w:bookmarkEnd w:id="0"/>
    </w:p>
    <w:tbl>
      <w:tblPr>
        <w:tblW w:w="4076" w:type="dxa"/>
        <w:jc w:val="center"/>
        <w:tblCellMar>
          <w:left w:w="0" w:type="dxa"/>
          <w:right w:w="0" w:type="dxa"/>
        </w:tblCellMar>
        <w:tblLook w:val="0600" w:firstRow="0" w:lastRow="0" w:firstColumn="0" w:lastColumn="0" w:noHBand="1" w:noVBand="1"/>
      </w:tblPr>
      <w:tblGrid>
        <w:gridCol w:w="1219"/>
        <w:gridCol w:w="1172"/>
        <w:gridCol w:w="1685"/>
      </w:tblGrid>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b/>
              </w:rPr>
            </w:pPr>
            <w:proofErr w:type="spellStart"/>
            <w:r w:rsidRPr="005733F5">
              <w:rPr>
                <w:rFonts w:ascii="Garamond" w:hAnsi="Garamond"/>
                <w:b/>
              </w:rPr>
              <w:t>LowVarFS</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b/>
              </w:rPr>
            </w:pPr>
            <w:proofErr w:type="spellStart"/>
            <w:r w:rsidRPr="005733F5">
              <w:rPr>
                <w:rFonts w:ascii="Garamond" w:hAnsi="Garamond"/>
                <w:b/>
              </w:rPr>
              <w:t>FastFS</w:t>
            </w:r>
            <w:proofErr w:type="spellEnd"/>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b/>
              </w:rPr>
            </w:pPr>
            <w:proofErr w:type="spellStart"/>
            <w:r w:rsidRPr="005733F5">
              <w:rPr>
                <w:rFonts w:ascii="Garamond" w:hAnsi="Garamond"/>
                <w:b/>
              </w:rPr>
              <w:t>SlowFS</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%AA/</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w:t>
            </w:r>
            <w:proofErr w:type="gramStart"/>
            <w:r w:rsidRPr="005733F5">
              <w:rPr>
                <w:rFonts w:ascii="Garamond" w:hAnsi="Garamond"/>
              </w:rPr>
              <w:t>G(</w:t>
            </w:r>
            <w:proofErr w:type="gramEnd"/>
            <w:r w:rsidRPr="005733F5">
              <w:rPr>
                <w:rFonts w:ascii="Garamond" w:hAnsi="Garamond"/>
              </w:rPr>
              <w:t>(.</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dns_z</w:t>
            </w:r>
            <w:proofErr w:type="spellEnd"/>
            <w:r w:rsidRPr="005733F5">
              <w:rPr>
                <w:rFonts w:ascii="Garamond" w:hAnsi="Garamond"/>
              </w:rPr>
              <w:t>(dc)</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%AC/</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w:t>
            </w:r>
            <w:proofErr w:type="gramStart"/>
            <w:r w:rsidRPr="005733F5">
              <w:rPr>
                <w:rFonts w:ascii="Garamond" w:hAnsi="Garamond"/>
              </w:rPr>
              <w:t>..</w:t>
            </w:r>
            <w:proofErr w:type="gramEnd"/>
            <w:r w:rsidRPr="005733F5">
              <w:rPr>
                <w:rFonts w:ascii="Garamond" w:hAnsi="Garamond"/>
              </w:rPr>
              <w:t>(</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dns_z</w:t>
            </w:r>
            <w:proofErr w:type="spellEnd"/>
            <w:r w:rsidRPr="005733F5">
              <w:rPr>
                <w:rFonts w:ascii="Garamond" w:hAnsi="Garamond"/>
              </w:rPr>
              <w:t>(Q/</w:t>
            </w:r>
            <w:proofErr w:type="spellStart"/>
            <w:r w:rsidRPr="005733F5">
              <w:rPr>
                <w:rFonts w:ascii="Garamond" w:hAnsi="Garamond"/>
              </w:rPr>
              <w:t>hpl</w:t>
            </w:r>
            <w:proofErr w:type="spellEnd"/>
            <w:r w:rsidRPr="005733F5">
              <w:rPr>
                <w:rFonts w:ascii="Garamond" w:hAnsi="Garamond"/>
              </w:rPr>
              <w:t>)</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%AG/</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#GU</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dns_p</w:t>
            </w:r>
            <w:proofErr w:type="spellEnd"/>
            <w:r w:rsidRPr="005733F5">
              <w:rPr>
                <w:rFonts w:ascii="Garamond" w:hAnsi="Garamond"/>
              </w:rPr>
              <w:t>(Q/</w:t>
            </w:r>
            <w:proofErr w:type="spellStart"/>
            <w:r w:rsidRPr="005733F5">
              <w:rPr>
                <w:rFonts w:ascii="Garamond" w:hAnsi="Garamond"/>
              </w:rPr>
              <w:t>hpl</w:t>
            </w:r>
            <w:proofErr w:type="spellEnd"/>
            <w:r w:rsidRPr="005733F5">
              <w:rPr>
                <w:rFonts w:ascii="Garamond" w:hAnsi="Garamond"/>
              </w:rPr>
              <w:t>)</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%AU/</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dns_z</w:t>
            </w:r>
            <w:proofErr w:type="spellEnd"/>
            <w:r w:rsidRPr="005733F5">
              <w:rPr>
                <w:rFonts w:ascii="Garamond" w:hAnsi="Garamond"/>
              </w:rPr>
              <w:t>(Q)</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%CA/</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#G++#G</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dns_p</w:t>
            </w:r>
            <w:proofErr w:type="spellEnd"/>
            <w:r w:rsidRPr="005733F5">
              <w:rPr>
                <w:rFonts w:ascii="Garamond" w:hAnsi="Garamond"/>
              </w:rPr>
              <w:t>(Q)</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%CC/</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w:t>
            </w:r>
            <w:proofErr w:type="gramStart"/>
            <w:r w:rsidRPr="005733F5">
              <w:rPr>
                <w:rFonts w:ascii="Garamond" w:hAnsi="Garamond"/>
              </w:rPr>
              <w:t>G(</w:t>
            </w:r>
            <w:proofErr w:type="gramEnd"/>
            <w:r w:rsidRPr="005733F5">
              <w:rPr>
                <w:rFonts w:ascii="Garamond" w:hAnsi="Garamond"/>
              </w:rPr>
              <w:t>..</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dG</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%CG/</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w:t>
            </w:r>
            <w:proofErr w:type="gramStart"/>
            <w:r w:rsidRPr="005733F5">
              <w:rPr>
                <w:rFonts w:ascii="Garamond" w:hAnsi="Garamond"/>
              </w:rPr>
              <w:t>C(</w:t>
            </w:r>
            <w:proofErr w:type="gramEnd"/>
            <w:r w:rsidRPr="005733F5">
              <w:rPr>
                <w:rFonts w:ascii="Garamond" w:hAnsi="Garamond"/>
              </w:rPr>
              <w:t>.(</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dH</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%CU/</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w:t>
            </w:r>
            <w:proofErr w:type="gramStart"/>
            <w:r w:rsidRPr="005733F5">
              <w:rPr>
                <w:rFonts w:ascii="Garamond" w:hAnsi="Garamond"/>
              </w:rPr>
              <w:t>C(</w:t>
            </w:r>
            <w:proofErr w:type="gramEnd"/>
            <w:r w:rsidRPr="005733F5">
              <w:rPr>
                <w:rFonts w:ascii="Garamond" w:hAnsi="Garamond"/>
              </w:rPr>
              <w:t>..</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dS</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%GA/</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#GG</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Tm</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%GC/</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dm</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%GG/</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#GC</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dc</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%GU/</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roofErr w:type="gramStart"/>
            <w:r w:rsidRPr="005733F5">
              <w:rPr>
                <w:rFonts w:ascii="Garamond" w:hAnsi="Garamond"/>
              </w:rPr>
              <w:t>..</w:t>
            </w:r>
            <w:proofErr w:type="gramEnd"/>
            <w:r w:rsidRPr="005733F5">
              <w:rPr>
                <w:rFonts w:ascii="Garamond" w:hAnsi="Garamond"/>
              </w:rPr>
              <w:t>(</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dns_z</w:t>
            </w:r>
            <w:proofErr w:type="spellEnd"/>
            <w:r w:rsidRPr="005733F5">
              <w:rPr>
                <w:rFonts w:ascii="Garamond" w:hAnsi="Garamond"/>
              </w:rPr>
              <w:t>(</w:t>
            </w:r>
            <w:proofErr w:type="spellStart"/>
            <w:r w:rsidRPr="005733F5">
              <w:rPr>
                <w:rFonts w:ascii="Garamond" w:hAnsi="Garamond"/>
              </w:rPr>
              <w:t>bpp</w:t>
            </w:r>
            <w:proofErr w:type="spellEnd"/>
            <w:r w:rsidRPr="005733F5">
              <w:rPr>
                <w:rFonts w:ascii="Garamond" w:hAnsi="Garamond"/>
              </w:rPr>
              <w:t>/</w:t>
            </w:r>
            <w:proofErr w:type="spellStart"/>
            <w:r w:rsidRPr="005733F5">
              <w:rPr>
                <w:rFonts w:ascii="Garamond" w:hAnsi="Garamond"/>
              </w:rPr>
              <w:t>hpl</w:t>
            </w:r>
            <w:proofErr w:type="spellEnd"/>
            <w:r w:rsidRPr="005733F5">
              <w:rPr>
                <w:rFonts w:ascii="Garamond" w:hAnsi="Garamond"/>
              </w:rPr>
              <w:t>)</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%UA/</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#U</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dns_z</w:t>
            </w:r>
            <w:proofErr w:type="spellEnd"/>
            <w:r w:rsidRPr="005733F5">
              <w:rPr>
                <w:rFonts w:ascii="Garamond" w:hAnsi="Garamond"/>
              </w:rPr>
              <w:t>(</w:t>
            </w:r>
            <w:proofErr w:type="spellStart"/>
            <w:r w:rsidRPr="005733F5">
              <w:rPr>
                <w:rFonts w:ascii="Garamond" w:hAnsi="Garamond"/>
              </w:rPr>
              <w:t>bpp</w:t>
            </w:r>
            <w:proofErr w:type="spellEnd"/>
            <w:r w:rsidRPr="005733F5">
              <w:rPr>
                <w:rFonts w:ascii="Garamond" w:hAnsi="Garamond"/>
              </w:rPr>
              <w:t>)</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%UC/</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#GA</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dns_p</w:t>
            </w:r>
            <w:proofErr w:type="spellEnd"/>
            <w:r w:rsidRPr="005733F5">
              <w:rPr>
                <w:rFonts w:ascii="Garamond" w:hAnsi="Garamond"/>
              </w:rPr>
              <w:t>(</w:t>
            </w:r>
            <w:proofErr w:type="spellStart"/>
            <w:r w:rsidRPr="005733F5">
              <w:rPr>
                <w:rFonts w:ascii="Garamond" w:hAnsi="Garamond"/>
              </w:rPr>
              <w:t>bpp</w:t>
            </w:r>
            <w:proofErr w:type="spellEnd"/>
            <w:r w:rsidRPr="005733F5">
              <w:rPr>
                <w:rFonts w:ascii="Garamond" w:hAnsi="Garamond"/>
              </w:rPr>
              <w:t>/</w:t>
            </w:r>
            <w:proofErr w:type="spellStart"/>
            <w:r w:rsidRPr="005733F5">
              <w:rPr>
                <w:rFonts w:ascii="Garamond" w:hAnsi="Garamond"/>
              </w:rPr>
              <w:t>hpl</w:t>
            </w:r>
            <w:proofErr w:type="spellEnd"/>
            <w:r w:rsidRPr="005733F5">
              <w:rPr>
                <w:rFonts w:ascii="Garamond" w:hAnsi="Garamond"/>
              </w:rPr>
              <w:t>)</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%UG/</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dns_p</w:t>
            </w:r>
            <w:proofErr w:type="spellEnd"/>
            <w:r w:rsidRPr="005733F5">
              <w:rPr>
                <w:rFonts w:ascii="Garamond" w:hAnsi="Garamond"/>
              </w:rPr>
              <w:t>(</w:t>
            </w:r>
            <w:proofErr w:type="spellStart"/>
            <w:r w:rsidRPr="005733F5">
              <w:rPr>
                <w:rFonts w:ascii="Garamond" w:hAnsi="Garamond"/>
              </w:rPr>
              <w:t>bpp</w:t>
            </w:r>
            <w:proofErr w:type="spellEnd"/>
            <w:r w:rsidRPr="005733F5">
              <w:rPr>
                <w:rFonts w:ascii="Garamond" w:hAnsi="Garamond"/>
              </w:rPr>
              <w:t>)</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%UU/</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#CA</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dns_z</w:t>
            </w:r>
            <w:proofErr w:type="spellEnd"/>
            <w:r w:rsidRPr="005733F5">
              <w:rPr>
                <w:rFonts w:ascii="Garamond" w:hAnsi="Garamond"/>
              </w:rPr>
              <w:t>(bpd/</w:t>
            </w:r>
            <w:proofErr w:type="spellStart"/>
            <w:r w:rsidRPr="005733F5">
              <w:rPr>
                <w:rFonts w:ascii="Garamond" w:hAnsi="Garamond"/>
              </w:rPr>
              <w:t>hpl</w:t>
            </w:r>
            <w:proofErr w:type="spellEnd"/>
            <w:r w:rsidRPr="005733F5">
              <w:rPr>
                <w:rFonts w:ascii="Garamond" w:hAnsi="Garamond"/>
              </w:rPr>
              <w:t>)</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roofErr w:type="gramStart"/>
            <w:r w:rsidRPr="005733F5">
              <w:rPr>
                <w:rFonts w:ascii="Garamond" w:hAnsi="Garamond"/>
              </w:rPr>
              <w:t>.(</w:t>
            </w:r>
            <w:proofErr w:type="gramEnd"/>
            <w:r w:rsidRPr="005733F5">
              <w:rPr>
                <w:rFonts w:ascii="Garamond" w:hAnsi="Garamond"/>
              </w:rPr>
              <w:t>.</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dns_p</w:t>
            </w:r>
            <w:proofErr w:type="spellEnd"/>
            <w:r w:rsidRPr="005733F5">
              <w:rPr>
                <w:rFonts w:ascii="Garamond" w:hAnsi="Garamond"/>
              </w:rPr>
              <w:t>(bpd/</w:t>
            </w:r>
            <w:proofErr w:type="spellStart"/>
            <w:r w:rsidRPr="005733F5">
              <w:rPr>
                <w:rFonts w:ascii="Garamond" w:hAnsi="Garamond"/>
              </w:rPr>
              <w:t>hpl</w:t>
            </w:r>
            <w:proofErr w:type="spellEnd"/>
            <w:r w:rsidRPr="005733F5">
              <w:rPr>
                <w:rFonts w:ascii="Garamond" w:hAnsi="Garamond"/>
              </w:rPr>
              <w:t>)</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#G++#C</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c#Ns</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dns_z</w:t>
            </w:r>
            <w:proofErr w:type="spellEnd"/>
            <w:r w:rsidRPr="005733F5">
              <w:rPr>
                <w:rFonts w:ascii="Garamond" w:hAnsi="Garamond"/>
              </w:rPr>
              <w:t>(</w:t>
            </w:r>
            <w:proofErr w:type="spellStart"/>
            <w:r w:rsidRPr="005733F5">
              <w:rPr>
                <w:rFonts w:ascii="Garamond" w:hAnsi="Garamond"/>
              </w:rPr>
              <w:t>hpmfe_rf</w:t>
            </w:r>
            <w:proofErr w:type="spellEnd"/>
            <w:r w:rsidRPr="005733F5">
              <w:rPr>
                <w:rFonts w:ascii="Garamond" w:hAnsi="Garamond"/>
              </w:rPr>
              <w:t>/</w:t>
            </w:r>
            <w:proofErr w:type="spellStart"/>
            <w:r w:rsidRPr="005733F5">
              <w:rPr>
                <w:rFonts w:ascii="Garamond" w:hAnsi="Garamond"/>
              </w:rPr>
              <w:t>hpl</w:t>
            </w:r>
            <w:proofErr w:type="spellEnd"/>
            <w:r w:rsidRPr="005733F5">
              <w:rPr>
                <w:rFonts w:ascii="Garamond" w:hAnsi="Garamond"/>
              </w:rPr>
              <w:t>)</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w:t>
            </w:r>
            <w:proofErr w:type="gramStart"/>
            <w:r w:rsidRPr="005733F5">
              <w:rPr>
                <w:rFonts w:ascii="Garamond" w:hAnsi="Garamond"/>
              </w:rPr>
              <w:t>A(</w:t>
            </w:r>
            <w:proofErr w:type="gramEnd"/>
            <w:r w:rsidRPr="005733F5">
              <w:rPr>
                <w:rFonts w:ascii="Garamond" w:hAnsi="Garamond"/>
              </w:rPr>
              <w:t>../</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w:t>
            </w:r>
            <w:proofErr w:type="gramStart"/>
            <w:r w:rsidRPr="005733F5">
              <w:rPr>
                <w:rFonts w:ascii="Garamond" w:hAnsi="Garamond"/>
              </w:rPr>
              <w:t>C(</w:t>
            </w:r>
            <w:proofErr w:type="gramEnd"/>
            <w:r w:rsidRPr="005733F5">
              <w:rPr>
                <w:rFonts w:ascii="Garamond" w:hAnsi="Garamond"/>
              </w:rPr>
              <w:t>(.</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c#N</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roofErr w:type="spellStart"/>
            <w:r w:rsidRPr="005733F5">
              <w:rPr>
                <w:rFonts w:ascii="Garamond" w:hAnsi="Garamond"/>
              </w:rPr>
              <w:t>sl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dns_z</w:t>
            </w:r>
            <w:proofErr w:type="spellEnd"/>
            <w:r w:rsidRPr="005733F5">
              <w:rPr>
                <w:rFonts w:ascii="Garamond" w:hAnsi="Garamond"/>
              </w:rPr>
              <w:t>(bpd)</w:t>
            </w:r>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#CC</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c#Ns</w:t>
            </w:r>
            <w:proofErr w:type="spellEnd"/>
            <w:r w:rsidRPr="005733F5">
              <w:rPr>
                <w:rFonts w:ascii="Garamond" w:hAnsi="Garamond"/>
              </w:rPr>
              <w:t>/</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roofErr w:type="spellStart"/>
            <w:r w:rsidRPr="005733F5">
              <w:rPr>
                <w:rFonts w:ascii="Garamond" w:hAnsi="Garamond"/>
              </w:rPr>
              <w:t>sl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#A++#C</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CGsAU</w:t>
            </w:r>
            <w:proofErr w:type="spellEnd"/>
            <w:r w:rsidRPr="005733F5">
              <w:rPr>
                <w:rFonts w:ascii="Garamond" w:hAnsi="Garamond"/>
              </w:rPr>
              <w:t>/</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roofErr w:type="gramStart"/>
            <w:r w:rsidRPr="005733F5">
              <w:rPr>
                <w:rFonts w:ascii="Garamond" w:hAnsi="Garamond"/>
              </w:rPr>
              <w:t>..</w:t>
            </w:r>
            <w:proofErr w:type="gramEnd"/>
            <w:r w:rsidRPr="005733F5">
              <w:rPr>
                <w:rFonts w:ascii="Garamond" w:hAnsi="Garamond"/>
              </w:rPr>
              <w:t>(/</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#G++#A</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lsr</w:t>
            </w:r>
            <w:proofErr w:type="spellEnd"/>
            <w:r w:rsidRPr="005733F5">
              <w:rPr>
                <w:rFonts w:ascii="Garamond" w:hAnsi="Garamond"/>
              </w:rPr>
              <w:t>(%G)/</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#CU</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%UA/</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#CG</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CUsGA</w:t>
            </w:r>
            <w:proofErr w:type="spellEnd"/>
            <w:r w:rsidRPr="005733F5">
              <w:rPr>
                <w:rFonts w:ascii="Garamond" w:hAnsi="Garamond"/>
              </w:rPr>
              <w:t>/</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lsr</w:t>
            </w:r>
            <w:proofErr w:type="spellEnd"/>
            <w:r w:rsidRPr="005733F5">
              <w:rPr>
                <w:rFonts w:ascii="Garamond" w:hAnsi="Garamond"/>
              </w:rPr>
              <w:t>(%G-U)/</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roofErr w:type="gramStart"/>
            <w:r w:rsidRPr="005733F5">
              <w:rPr>
                <w:rFonts w:ascii="Garamond" w:hAnsi="Garamond"/>
              </w:rPr>
              <w:t>.(</w:t>
            </w:r>
            <w:proofErr w:type="gramEnd"/>
            <w:r w:rsidRPr="005733F5">
              <w:rPr>
                <w:rFonts w:ascii="Garamond" w:hAnsi="Garamond"/>
              </w:rPr>
              <w:t>.</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%U++%A/</w:t>
            </w:r>
            <w:proofErr w:type="spellStart"/>
            <w:r w:rsidRPr="005733F5">
              <w:rPr>
                <w:rFonts w:ascii="Garamond" w:hAnsi="Garamond"/>
              </w:rPr>
              <w:t>hpl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w:t>
            </w:r>
            <w:proofErr w:type="gramStart"/>
            <w:r w:rsidRPr="005733F5">
              <w:rPr>
                <w:rFonts w:ascii="Garamond" w:hAnsi="Garamond"/>
              </w:rPr>
              <w:t>C(</w:t>
            </w:r>
            <w:proofErr w:type="gramEnd"/>
            <w:r w:rsidRPr="005733F5">
              <w:rPr>
                <w:rFonts w:ascii="Garamond" w:hAnsi="Garamond"/>
              </w:rPr>
              <w:t>../</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roofErr w:type="gramStart"/>
            <w:r w:rsidRPr="005733F5">
              <w:rPr>
                <w:rFonts w:ascii="Garamond" w:hAnsi="Garamond"/>
              </w:rPr>
              <w:t>..</w:t>
            </w:r>
            <w:proofErr w:type="gramEnd"/>
            <w:r w:rsidRPr="005733F5">
              <w:rPr>
                <w:rFonts w:ascii="Garamond" w:hAnsi="Garamond"/>
              </w:rPr>
              <w:t>(</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lsr</w:t>
            </w:r>
            <w:proofErr w:type="spellEnd"/>
            <w:r w:rsidRPr="005733F5">
              <w:rPr>
                <w:rFonts w:ascii="Garamond" w:hAnsi="Garamond"/>
              </w:rPr>
              <w:t>(%A-U)/</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c#Gs</w:t>
            </w:r>
            <w:proofErr w:type="spellEnd"/>
            <w:r w:rsidRPr="005733F5">
              <w:rPr>
                <w:rFonts w:ascii="Garamond" w:hAnsi="Garamond"/>
              </w:rPr>
              <w:t>/</w:t>
            </w:r>
            <w:proofErr w:type="spellStart"/>
            <w:r w:rsidRPr="005733F5">
              <w:rPr>
                <w:rFonts w:ascii="Garamond" w:hAnsi="Garamond"/>
              </w:rPr>
              <w:t>hpl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#AG</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CAsGU</w:t>
            </w:r>
            <w:proofErr w:type="spellEnd"/>
            <w:r w:rsidRPr="005733F5">
              <w:rPr>
                <w:rFonts w:ascii="Garamond" w:hAnsi="Garamond"/>
              </w:rPr>
              <w:t>/</w:t>
            </w:r>
            <w:proofErr w:type="spellStart"/>
            <w:r w:rsidRPr="005733F5">
              <w:rPr>
                <w:rFonts w:ascii="Garamond" w:hAnsi="Garamond"/>
              </w:rPr>
              <w:t>hpl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roofErr w:type="gramStart"/>
            <w:r w:rsidRPr="005733F5">
              <w:rPr>
                <w:rFonts w:ascii="Garamond" w:hAnsi="Garamond"/>
              </w:rPr>
              <w:t>..</w:t>
            </w:r>
            <w:proofErr w:type="gramEnd"/>
            <w:r w:rsidRPr="005733F5">
              <w:rPr>
                <w:rFonts w:ascii="Garamond" w:hAnsi="Garamond"/>
              </w:rPr>
              <w:t>(/</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#AA</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*C(.(/</w:t>
            </w:r>
            <w:proofErr w:type="spellStart"/>
            <w:r w:rsidRPr="005733F5">
              <w:rPr>
                <w:rFonts w:ascii="Garamond" w:hAnsi="Garamond"/>
              </w:rPr>
              <w:t>hpl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w:t>
            </w:r>
            <w:proofErr w:type="gramStart"/>
            <w:r w:rsidRPr="005733F5">
              <w:rPr>
                <w:rFonts w:ascii="Garamond" w:hAnsi="Garamond"/>
              </w:rPr>
              <w:t>A(</w:t>
            </w:r>
            <w:proofErr w:type="gramEnd"/>
            <w:r w:rsidRPr="005733F5">
              <w:rPr>
                <w:rFonts w:ascii="Garamond" w:hAnsi="Garamond"/>
              </w:rPr>
              <w:t>(.</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#U++#C/</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w:t>
            </w:r>
            <w:proofErr w:type="gramStart"/>
            <w:r w:rsidRPr="005733F5">
              <w:rPr>
                <w:rFonts w:ascii="Garamond" w:hAnsi="Garamond"/>
              </w:rPr>
              <w:t>A(</w:t>
            </w:r>
            <w:proofErr w:type="gramEnd"/>
            <w:r w:rsidRPr="005733F5">
              <w:rPr>
                <w:rFonts w:ascii="Garamond" w:hAnsi="Garamond"/>
              </w:rPr>
              <w:t>..</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*A.((/</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w:t>
            </w:r>
            <w:proofErr w:type="gramStart"/>
            <w:r w:rsidRPr="005733F5">
              <w:rPr>
                <w:rFonts w:ascii="Garamond" w:hAnsi="Garamond"/>
              </w:rPr>
              <w:t>G(</w:t>
            </w:r>
            <w:proofErr w:type="gramEnd"/>
            <w:r w:rsidRPr="005733F5">
              <w:rPr>
                <w:rFonts w:ascii="Garamond" w:hAnsi="Garamond"/>
              </w:rPr>
              <w:t>../</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#C++#C</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*U.../</w:t>
            </w:r>
            <w:proofErr w:type="spellStart"/>
            <w:r w:rsidRPr="005733F5">
              <w:rPr>
                <w:rFonts w:ascii="Garamond" w:hAnsi="Garamond"/>
              </w:rPr>
              <w:t>hpl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lsr</w:t>
            </w:r>
            <w:proofErr w:type="spellEnd"/>
            <w:r w:rsidRPr="005733F5">
              <w:rPr>
                <w:rFonts w:ascii="Garamond" w:hAnsi="Garamond"/>
              </w:rPr>
              <w:t>(%G-C)/</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w:t>
            </w:r>
            <w:proofErr w:type="gramStart"/>
            <w:r w:rsidRPr="005733F5">
              <w:rPr>
                <w:rFonts w:ascii="Garamond" w:hAnsi="Garamond"/>
              </w:rPr>
              <w:t>..</w:t>
            </w:r>
            <w:proofErr w:type="gramEnd"/>
            <w:r w:rsidRPr="005733F5">
              <w:rPr>
                <w:rFonts w:ascii="Garamond" w:hAnsi="Garamond"/>
              </w:rPr>
              <w:t>(/</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Q</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c#C</w:t>
            </w:r>
            <w:proofErr w:type="spellEnd"/>
            <w:r w:rsidRPr="005733F5">
              <w:rPr>
                <w:rFonts w:ascii="Garamond" w:hAnsi="Garamond"/>
              </w:rPr>
              <w:t>/</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*G.../</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proofErr w:type="spellStart"/>
            <w:r w:rsidRPr="005733F5">
              <w:rPr>
                <w:rFonts w:ascii="Garamond" w:hAnsi="Garamond"/>
              </w:rPr>
              <w:t>clsp</w:t>
            </w:r>
            <w:proofErr w:type="spellEnd"/>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*U(((/</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*N.(./</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#AU</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#U++#U/</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*U((./</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#AC</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CUsGA</w:t>
            </w:r>
            <w:proofErr w:type="spellEnd"/>
            <w:r w:rsidRPr="005733F5">
              <w:rPr>
                <w:rFonts w:ascii="Garamond" w:hAnsi="Garamond"/>
              </w:rPr>
              <w:t>/</w:t>
            </w:r>
            <w:proofErr w:type="spellStart"/>
            <w:r w:rsidRPr="005733F5">
              <w:rPr>
                <w:rFonts w:ascii="Garamond" w:hAnsi="Garamond"/>
              </w:rPr>
              <w:t>hpl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*U(.(/</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#C++#A</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hpmfe_rf_I1/</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w:t>
            </w:r>
            <w:proofErr w:type="gramStart"/>
            <w:r w:rsidRPr="005733F5">
              <w:rPr>
                <w:rFonts w:ascii="Garamond" w:hAnsi="Garamond"/>
              </w:rPr>
              <w:t>U(</w:t>
            </w:r>
            <w:proofErr w:type="gramEnd"/>
            <w:r w:rsidRPr="005733F5">
              <w:rPr>
                <w:rFonts w:ascii="Garamond" w:hAnsi="Garamond"/>
              </w:rPr>
              <w:t>../</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proofErr w:type="spellStart"/>
            <w:r w:rsidRPr="005733F5">
              <w:rPr>
                <w:rFonts w:ascii="Garamond" w:hAnsi="Garamond"/>
              </w:rPr>
              <w:t>clep</w:t>
            </w:r>
            <w:proofErr w:type="spellEnd"/>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lsr</w:t>
            </w:r>
            <w:proofErr w:type="spellEnd"/>
            <w:r w:rsidRPr="005733F5">
              <w:rPr>
                <w:rFonts w:ascii="Garamond" w:hAnsi="Garamond"/>
              </w:rPr>
              <w:t>(%U)/</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*U.(./</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mwmF</w:t>
            </w:r>
            <w:proofErr w:type="spellEnd"/>
            <w:r w:rsidRPr="005733F5">
              <w:rPr>
                <w:rFonts w:ascii="Garamond" w:hAnsi="Garamond"/>
              </w:rPr>
              <w:t>/</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lastRenderedPageBreak/>
              <w:t>*U.(./</w:t>
            </w:r>
            <w:proofErr w:type="spellStart"/>
            <w:r w:rsidRPr="005733F5">
              <w:rPr>
                <w:rFonts w:ascii="Garamond" w:hAnsi="Garamond"/>
              </w:rPr>
              <w:t>sl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proofErr w:type="spellStart"/>
            <w:r w:rsidRPr="005733F5">
              <w:rPr>
                <w:rFonts w:ascii="Garamond" w:hAnsi="Garamond"/>
              </w:rPr>
              <w:t>dme</w:t>
            </w:r>
            <w:proofErr w:type="spellEnd"/>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lsr</w:t>
            </w:r>
            <w:proofErr w:type="spellEnd"/>
            <w:r w:rsidRPr="005733F5">
              <w:rPr>
                <w:rFonts w:ascii="Garamond" w:hAnsi="Garamond"/>
              </w:rPr>
              <w:t>(%A)/</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*U</w:t>
            </w:r>
            <w:proofErr w:type="gramStart"/>
            <w:r w:rsidRPr="005733F5">
              <w:rPr>
                <w:rFonts w:ascii="Garamond" w:hAnsi="Garamond"/>
              </w:rPr>
              <w:t>..</w:t>
            </w:r>
            <w:proofErr w:type="gramEnd"/>
            <w:r w:rsidRPr="005733F5">
              <w:rPr>
                <w:rFonts w:ascii="Garamond" w:hAnsi="Garamond"/>
              </w:rPr>
              <w:t>(/</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#A++#A</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GUsAC</w:t>
            </w:r>
            <w:proofErr w:type="spellEnd"/>
            <w:r w:rsidRPr="005733F5">
              <w:rPr>
                <w:rFonts w:ascii="Garamond" w:hAnsi="Garamond"/>
              </w:rPr>
              <w:t>/</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*U.../</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proofErr w:type="spellStart"/>
            <w:r w:rsidRPr="005733F5">
              <w:rPr>
                <w:rFonts w:ascii="Garamond" w:hAnsi="Garamond"/>
              </w:rPr>
              <w:t>ediv</w:t>
            </w:r>
            <w:proofErr w:type="spellEnd"/>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lsr</w:t>
            </w:r>
            <w:proofErr w:type="spellEnd"/>
            <w:r w:rsidRPr="005733F5">
              <w:rPr>
                <w:rFonts w:ascii="Garamond" w:hAnsi="Garamond"/>
              </w:rPr>
              <w:t>(%C)/</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proofErr w:type="spellStart"/>
            <w:r w:rsidRPr="005733F5">
              <w:rPr>
                <w:rFonts w:ascii="Garamond" w:hAnsi="Garamond"/>
              </w:rPr>
              <w:t>adalr</w:t>
            </w:r>
            <w:proofErr w:type="spellEnd"/>
            <w:r w:rsidRPr="005733F5">
              <w:rPr>
                <w:rFonts w:ascii="Garamond" w:hAnsi="Garamond"/>
              </w:rPr>
              <w:t>/</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proofErr w:type="spellStart"/>
            <w:r w:rsidRPr="005733F5">
              <w:rPr>
                <w:rFonts w:ascii="Garamond" w:hAnsi="Garamond"/>
              </w:rPr>
              <w:t>efq</w:t>
            </w:r>
            <w:proofErr w:type="spellEnd"/>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*C.(./</w:t>
            </w:r>
            <w:proofErr w:type="spellStart"/>
            <w:r w:rsidRPr="005733F5">
              <w:rPr>
                <w:rFonts w:ascii="Garamond" w:hAnsi="Garamond"/>
              </w:rPr>
              <w:t>sl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proofErr w:type="spellStart"/>
            <w:r w:rsidRPr="005733F5">
              <w:rPr>
                <w:rFonts w:ascii="Garamond" w:hAnsi="Garamond"/>
              </w:rPr>
              <w:t>dme</w:t>
            </w:r>
            <w:proofErr w:type="spellEnd"/>
            <w:r w:rsidRPr="005733F5">
              <w:rPr>
                <w:rFonts w:ascii="Garamond" w:hAnsi="Garamond"/>
              </w:rPr>
              <w:t>/</w:t>
            </w:r>
            <w:proofErr w:type="spellStart"/>
            <w:r w:rsidRPr="005733F5">
              <w:rPr>
                <w:rFonts w:ascii="Garamond" w:hAnsi="Garamond"/>
              </w:rPr>
              <w:t>hpl</w:t>
            </w:r>
            <w:proofErr w:type="spellEnd"/>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bpd</w:t>
            </w:r>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GAsUC</w:t>
            </w:r>
            <w:proofErr w:type="spellEnd"/>
            <w:r w:rsidRPr="005733F5">
              <w:rPr>
                <w:rFonts w:ascii="Garamond" w:hAnsi="Garamond"/>
              </w:rPr>
              <w:t>/</w:t>
            </w:r>
            <w:proofErr w:type="spellStart"/>
            <w:r w:rsidRPr="005733F5">
              <w:rPr>
                <w:rFonts w:ascii="Garamond" w:hAnsi="Garamond"/>
              </w:rPr>
              <w:t>hpl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hpmfe_rf_I2</w:t>
            </w:r>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proofErr w:type="spellStart"/>
            <w:r w:rsidRPr="005733F5">
              <w:rPr>
                <w:rFonts w:ascii="Garamond" w:hAnsi="Garamond"/>
              </w:rPr>
              <w:t>hpmfe_rf</w:t>
            </w:r>
            <w:proofErr w:type="spellEnd"/>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r w:rsidRPr="005733F5">
              <w:rPr>
                <w:rFonts w:ascii="Garamond" w:hAnsi="Garamond"/>
              </w:rPr>
              <w:t>*U(((/</w:t>
            </w:r>
            <w:proofErr w:type="spellStart"/>
            <w:r w:rsidRPr="005733F5">
              <w:rPr>
                <w:rFonts w:ascii="Garamond" w:hAnsi="Garamond"/>
              </w:rPr>
              <w:t>hpl</w:t>
            </w:r>
            <w:proofErr w:type="spellEnd"/>
          </w:p>
        </w:tc>
      </w:tr>
      <w:tr w:rsidR="004979B9" w:rsidRPr="005733F5" w:rsidTr="004979B9">
        <w:trPr>
          <w:trHeight w:val="144"/>
          <w:jc w:val="center"/>
        </w:trPr>
        <w:tc>
          <w:tcPr>
            <w:tcW w:w="1219"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r w:rsidRPr="005733F5">
              <w:rPr>
                <w:rFonts w:ascii="Garamond" w:hAnsi="Garamond"/>
              </w:rPr>
              <w:t>hpmfe_rf_I3</w:t>
            </w:r>
          </w:p>
        </w:tc>
        <w:tc>
          <w:tcPr>
            <w:tcW w:w="1172" w:type="dxa"/>
            <w:tcBorders>
              <w:top w:val="single" w:sz="8" w:space="0" w:color="AAAAAA"/>
              <w:left w:val="single" w:sz="8" w:space="0" w:color="AAAAAA"/>
              <w:bottom w:val="single" w:sz="8" w:space="0" w:color="AAAAAA"/>
              <w:right w:val="single" w:sz="8" w:space="0" w:color="AAAAAA"/>
            </w:tcBorders>
            <w:shd w:val="clear" w:color="auto" w:fill="auto"/>
            <w:tcMar>
              <w:top w:w="15" w:type="dxa"/>
              <w:left w:w="15" w:type="dxa"/>
              <w:bottom w:w="0" w:type="dxa"/>
              <w:right w:w="15" w:type="dxa"/>
            </w:tcMar>
            <w:vAlign w:val="bottom"/>
            <w:hideMark/>
          </w:tcPr>
          <w:p w:rsidR="004979B9" w:rsidRPr="005733F5" w:rsidRDefault="004979B9" w:rsidP="004979B9">
            <w:pPr>
              <w:pStyle w:val="NoSpacing"/>
              <w:rPr>
                <w:rFonts w:ascii="Garamond" w:hAnsi="Garamond"/>
              </w:rPr>
            </w:pPr>
            <w:proofErr w:type="spellStart"/>
            <w:r w:rsidRPr="005733F5">
              <w:rPr>
                <w:rFonts w:ascii="Garamond" w:hAnsi="Garamond"/>
              </w:rPr>
              <w:t>efe</w:t>
            </w:r>
            <w:proofErr w:type="spellEnd"/>
          </w:p>
        </w:tc>
        <w:tc>
          <w:tcPr>
            <w:tcW w:w="1685" w:type="dxa"/>
            <w:tcBorders>
              <w:top w:val="single" w:sz="8" w:space="0" w:color="AAAAAA"/>
              <w:left w:val="single" w:sz="8" w:space="0" w:color="AAAAAA"/>
              <w:bottom w:val="single" w:sz="8" w:space="0" w:color="AAAAAA"/>
              <w:right w:val="single" w:sz="8" w:space="0" w:color="AAAAAA"/>
            </w:tcBorders>
            <w:vAlign w:val="bottom"/>
          </w:tcPr>
          <w:p w:rsidR="004979B9" w:rsidRPr="005733F5" w:rsidRDefault="004979B9" w:rsidP="002A62B6">
            <w:pPr>
              <w:pStyle w:val="NoSpacing"/>
              <w:rPr>
                <w:rFonts w:ascii="Garamond" w:hAnsi="Garamond"/>
              </w:rPr>
            </w:pPr>
            <w:proofErr w:type="spellStart"/>
            <w:r w:rsidRPr="005733F5">
              <w:rPr>
                <w:rFonts w:ascii="Garamond" w:hAnsi="Garamond"/>
              </w:rPr>
              <w:t>CGsUA</w:t>
            </w:r>
            <w:proofErr w:type="spellEnd"/>
            <w:r w:rsidRPr="005733F5">
              <w:rPr>
                <w:rFonts w:ascii="Garamond" w:hAnsi="Garamond"/>
              </w:rPr>
              <w:t>/</w:t>
            </w:r>
            <w:proofErr w:type="spellStart"/>
            <w:r w:rsidRPr="005733F5">
              <w:rPr>
                <w:rFonts w:ascii="Garamond" w:hAnsi="Garamond"/>
              </w:rPr>
              <w:t>hpl</w:t>
            </w:r>
            <w:proofErr w:type="spellEnd"/>
          </w:p>
        </w:tc>
      </w:tr>
    </w:tbl>
    <w:p w:rsidR="004979B9" w:rsidRPr="005733F5" w:rsidRDefault="004979B9">
      <w:pPr>
        <w:rPr>
          <w:rFonts w:ascii="Garamond" w:hAnsi="Garamond"/>
        </w:rPr>
      </w:pPr>
    </w:p>
    <w:sectPr w:rsidR="004979B9" w:rsidRPr="005733F5">
      <w:head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CF" w:rsidRDefault="00EA27CF" w:rsidP="00CE38DF">
      <w:r>
        <w:separator/>
      </w:r>
    </w:p>
  </w:endnote>
  <w:endnote w:type="continuationSeparator" w:id="0">
    <w:p w:rsidR="00EA27CF" w:rsidRDefault="00EA27CF" w:rsidP="00CE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CF" w:rsidRDefault="00EA27CF" w:rsidP="00CE38DF">
      <w:r>
        <w:separator/>
      </w:r>
    </w:p>
  </w:footnote>
  <w:footnote w:type="continuationSeparator" w:id="0">
    <w:p w:rsidR="00EA27CF" w:rsidRDefault="00EA27CF" w:rsidP="00CE3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DF" w:rsidRPr="00BE0F43" w:rsidRDefault="00BE0F43" w:rsidP="00BE0F43">
    <w:pPr>
      <w:pStyle w:val="Header"/>
      <w:pBdr>
        <w:bottom w:val="single" w:sz="4" w:space="1" w:color="auto"/>
      </w:pBdr>
      <w:rPr>
        <w:rFonts w:ascii="Garamond" w:hAnsi="Garamond"/>
        <w:lang w:val="tr-TR"/>
      </w:rPr>
    </w:pPr>
    <w:r w:rsidRPr="00BE0F43">
      <w:rPr>
        <w:rFonts w:ascii="Garamond" w:hAnsi="Garamond"/>
        <w:lang w:val="tr-TR"/>
      </w:rPr>
      <w:t xml:space="preserve">Saçar Demirci and Allmer, </w:t>
    </w:r>
    <w:r w:rsidR="00CE38DF" w:rsidRPr="00BE0F43">
      <w:rPr>
        <w:rFonts w:ascii="Garamond" w:hAnsi="Garamond"/>
        <w:lang w:val="tr-TR"/>
      </w:rPr>
      <w:t>Supplementary File</w:t>
    </w:r>
    <w:r w:rsidRPr="00BE0F43">
      <w:rPr>
        <w:rFonts w:ascii="Garamond" w:hAnsi="Garamond"/>
        <w:lang w:val="tr-TR"/>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70"/>
    <w:rsid w:val="00031054"/>
    <w:rsid w:val="00040271"/>
    <w:rsid w:val="00267AFB"/>
    <w:rsid w:val="003E3C61"/>
    <w:rsid w:val="004979B9"/>
    <w:rsid w:val="004A0011"/>
    <w:rsid w:val="005733F5"/>
    <w:rsid w:val="0066432B"/>
    <w:rsid w:val="007A490A"/>
    <w:rsid w:val="009403C2"/>
    <w:rsid w:val="00953970"/>
    <w:rsid w:val="00965EB2"/>
    <w:rsid w:val="009930DC"/>
    <w:rsid w:val="00BE0F43"/>
    <w:rsid w:val="00CE38DF"/>
    <w:rsid w:val="00E201BC"/>
    <w:rsid w:val="00EA27CF"/>
    <w:rsid w:val="00F9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8DF"/>
    <w:rPr>
      <w:rFonts w:ascii="Tahoma" w:hAnsi="Tahoma" w:cs="Tahoma"/>
      <w:sz w:val="16"/>
      <w:szCs w:val="16"/>
    </w:rPr>
  </w:style>
  <w:style w:type="character" w:customStyle="1" w:styleId="BalloonTextChar">
    <w:name w:val="Balloon Text Char"/>
    <w:basedOn w:val="DefaultParagraphFont"/>
    <w:link w:val="BalloonText"/>
    <w:uiPriority w:val="99"/>
    <w:semiHidden/>
    <w:rsid w:val="00CE38DF"/>
    <w:rPr>
      <w:rFonts w:ascii="Tahoma" w:hAnsi="Tahoma" w:cs="Tahoma"/>
      <w:sz w:val="16"/>
      <w:szCs w:val="16"/>
    </w:rPr>
  </w:style>
  <w:style w:type="paragraph" w:customStyle="1" w:styleId="Body">
    <w:name w:val="Body"/>
    <w:rsid w:val="00CE38D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CE38DF"/>
    <w:pPr>
      <w:tabs>
        <w:tab w:val="center" w:pos="4703"/>
        <w:tab w:val="right" w:pos="9406"/>
      </w:tabs>
    </w:pPr>
  </w:style>
  <w:style w:type="character" w:customStyle="1" w:styleId="HeaderChar">
    <w:name w:val="Header Char"/>
    <w:basedOn w:val="DefaultParagraphFont"/>
    <w:link w:val="Header"/>
    <w:uiPriority w:val="99"/>
    <w:rsid w:val="00CE38DF"/>
  </w:style>
  <w:style w:type="paragraph" w:styleId="Footer">
    <w:name w:val="footer"/>
    <w:basedOn w:val="Normal"/>
    <w:link w:val="FooterChar"/>
    <w:uiPriority w:val="99"/>
    <w:unhideWhenUsed/>
    <w:rsid w:val="00CE38DF"/>
    <w:pPr>
      <w:tabs>
        <w:tab w:val="center" w:pos="4703"/>
        <w:tab w:val="right" w:pos="9406"/>
      </w:tabs>
    </w:pPr>
  </w:style>
  <w:style w:type="character" w:customStyle="1" w:styleId="FooterChar">
    <w:name w:val="Footer Char"/>
    <w:basedOn w:val="DefaultParagraphFont"/>
    <w:link w:val="Footer"/>
    <w:uiPriority w:val="99"/>
    <w:rsid w:val="00CE38DF"/>
  </w:style>
  <w:style w:type="paragraph" w:styleId="NoSpacing">
    <w:name w:val="No Spacing"/>
    <w:uiPriority w:val="1"/>
    <w:qFormat/>
    <w:rsid w:val="004979B9"/>
  </w:style>
  <w:style w:type="character" w:styleId="Hyperlink">
    <w:name w:val="Hyperlink"/>
    <w:basedOn w:val="DefaultParagraphFont"/>
    <w:uiPriority w:val="99"/>
    <w:unhideWhenUsed/>
    <w:rsid w:val="00965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8DF"/>
    <w:rPr>
      <w:rFonts w:ascii="Tahoma" w:hAnsi="Tahoma" w:cs="Tahoma"/>
      <w:sz w:val="16"/>
      <w:szCs w:val="16"/>
    </w:rPr>
  </w:style>
  <w:style w:type="character" w:customStyle="1" w:styleId="BalloonTextChar">
    <w:name w:val="Balloon Text Char"/>
    <w:basedOn w:val="DefaultParagraphFont"/>
    <w:link w:val="BalloonText"/>
    <w:uiPriority w:val="99"/>
    <w:semiHidden/>
    <w:rsid w:val="00CE38DF"/>
    <w:rPr>
      <w:rFonts w:ascii="Tahoma" w:hAnsi="Tahoma" w:cs="Tahoma"/>
      <w:sz w:val="16"/>
      <w:szCs w:val="16"/>
    </w:rPr>
  </w:style>
  <w:style w:type="paragraph" w:customStyle="1" w:styleId="Body">
    <w:name w:val="Body"/>
    <w:rsid w:val="00CE38D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CE38DF"/>
    <w:pPr>
      <w:tabs>
        <w:tab w:val="center" w:pos="4703"/>
        <w:tab w:val="right" w:pos="9406"/>
      </w:tabs>
    </w:pPr>
  </w:style>
  <w:style w:type="character" w:customStyle="1" w:styleId="HeaderChar">
    <w:name w:val="Header Char"/>
    <w:basedOn w:val="DefaultParagraphFont"/>
    <w:link w:val="Header"/>
    <w:uiPriority w:val="99"/>
    <w:rsid w:val="00CE38DF"/>
  </w:style>
  <w:style w:type="paragraph" w:styleId="Footer">
    <w:name w:val="footer"/>
    <w:basedOn w:val="Normal"/>
    <w:link w:val="FooterChar"/>
    <w:uiPriority w:val="99"/>
    <w:unhideWhenUsed/>
    <w:rsid w:val="00CE38DF"/>
    <w:pPr>
      <w:tabs>
        <w:tab w:val="center" w:pos="4703"/>
        <w:tab w:val="right" w:pos="9406"/>
      </w:tabs>
    </w:pPr>
  </w:style>
  <w:style w:type="character" w:customStyle="1" w:styleId="FooterChar">
    <w:name w:val="Footer Char"/>
    <w:basedOn w:val="DefaultParagraphFont"/>
    <w:link w:val="Footer"/>
    <w:uiPriority w:val="99"/>
    <w:rsid w:val="00CE38DF"/>
  </w:style>
  <w:style w:type="paragraph" w:styleId="NoSpacing">
    <w:name w:val="No Spacing"/>
    <w:uiPriority w:val="1"/>
    <w:qFormat/>
    <w:rsid w:val="004979B9"/>
  </w:style>
  <w:style w:type="character" w:styleId="Hyperlink">
    <w:name w:val="Hyperlink"/>
    <w:basedOn w:val="DefaultParagraphFont"/>
    <w:uiPriority w:val="99"/>
    <w:unhideWhenUsed/>
    <w:rsid w:val="00965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jlab.iyte.edu.tr/software/mirna"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L:\jCloud\professional\Conferences\2016\GCB\duygu\revision\GoogleScho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default!$B$1</c:f>
              <c:strCache>
                <c:ptCount val="1"/>
                <c:pt idx="0">
                  <c:v>SVM</c:v>
                </c:pt>
              </c:strCache>
            </c:strRef>
          </c:tx>
          <c:xVal>
            <c:numRef>
              <c:f>default!$A$2:$A$21</c:f>
              <c:numCache>
                <c:formatCode>General</c:formatCode>
                <c:ptCount val="20"/>
                <c:pt idx="0">
                  <c:v>1991</c:v>
                </c:pt>
                <c:pt idx="1">
                  <c:v>1997</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xVal>
          <c:yVal>
            <c:numRef>
              <c:f>default!$B$2:$B$21</c:f>
              <c:numCache>
                <c:formatCode>General</c:formatCode>
                <c:ptCount val="20"/>
                <c:pt idx="0">
                  <c:v>0</c:v>
                </c:pt>
                <c:pt idx="1">
                  <c:v>0</c:v>
                </c:pt>
                <c:pt idx="2">
                  <c:v>1</c:v>
                </c:pt>
                <c:pt idx="3">
                  <c:v>0</c:v>
                </c:pt>
                <c:pt idx="4">
                  <c:v>0</c:v>
                </c:pt>
                <c:pt idx="5">
                  <c:v>0</c:v>
                </c:pt>
                <c:pt idx="6">
                  <c:v>0</c:v>
                </c:pt>
                <c:pt idx="7">
                  <c:v>0</c:v>
                </c:pt>
                <c:pt idx="8">
                  <c:v>3</c:v>
                </c:pt>
                <c:pt idx="9">
                  <c:v>4</c:v>
                </c:pt>
                <c:pt idx="10">
                  <c:v>12</c:v>
                </c:pt>
                <c:pt idx="11">
                  <c:v>11</c:v>
                </c:pt>
                <c:pt idx="12">
                  <c:v>25</c:v>
                </c:pt>
                <c:pt idx="13">
                  <c:v>19</c:v>
                </c:pt>
                <c:pt idx="14">
                  <c:v>34</c:v>
                </c:pt>
                <c:pt idx="15">
                  <c:v>26</c:v>
                </c:pt>
                <c:pt idx="16">
                  <c:v>46</c:v>
                </c:pt>
                <c:pt idx="17">
                  <c:v>41</c:v>
                </c:pt>
                <c:pt idx="18">
                  <c:v>54</c:v>
                </c:pt>
                <c:pt idx="19">
                  <c:v>48</c:v>
                </c:pt>
              </c:numCache>
            </c:numRef>
          </c:yVal>
          <c:smooth val="1"/>
        </c:ser>
        <c:ser>
          <c:idx val="1"/>
          <c:order val="1"/>
          <c:tx>
            <c:strRef>
              <c:f>default!$C$1</c:f>
              <c:strCache>
                <c:ptCount val="1"/>
                <c:pt idx="0">
                  <c:v>DT</c:v>
                </c:pt>
              </c:strCache>
            </c:strRef>
          </c:tx>
          <c:xVal>
            <c:numRef>
              <c:f>default!$A$2:$A$21</c:f>
              <c:numCache>
                <c:formatCode>General</c:formatCode>
                <c:ptCount val="20"/>
                <c:pt idx="0">
                  <c:v>1991</c:v>
                </c:pt>
                <c:pt idx="1">
                  <c:v>1997</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xVal>
          <c:yVal>
            <c:numRef>
              <c:f>default!$C$2:$C$21</c:f>
              <c:numCache>
                <c:formatCode>General</c:formatCode>
                <c:ptCount val="20"/>
                <c:pt idx="0">
                  <c:v>1</c:v>
                </c:pt>
                <c:pt idx="1">
                  <c:v>2</c:v>
                </c:pt>
                <c:pt idx="2">
                  <c:v>0</c:v>
                </c:pt>
                <c:pt idx="3">
                  <c:v>1</c:v>
                </c:pt>
                <c:pt idx="4">
                  <c:v>1</c:v>
                </c:pt>
                <c:pt idx="5">
                  <c:v>1</c:v>
                </c:pt>
                <c:pt idx="6">
                  <c:v>2</c:v>
                </c:pt>
                <c:pt idx="7">
                  <c:v>2</c:v>
                </c:pt>
                <c:pt idx="8">
                  <c:v>8</c:v>
                </c:pt>
                <c:pt idx="9">
                  <c:v>7</c:v>
                </c:pt>
                <c:pt idx="10">
                  <c:v>13</c:v>
                </c:pt>
                <c:pt idx="11">
                  <c:v>77</c:v>
                </c:pt>
                <c:pt idx="12">
                  <c:v>19</c:v>
                </c:pt>
                <c:pt idx="13">
                  <c:v>35</c:v>
                </c:pt>
                <c:pt idx="14">
                  <c:v>40</c:v>
                </c:pt>
                <c:pt idx="15">
                  <c:v>44</c:v>
                </c:pt>
                <c:pt idx="16">
                  <c:v>116</c:v>
                </c:pt>
                <c:pt idx="17">
                  <c:v>69</c:v>
                </c:pt>
                <c:pt idx="18">
                  <c:v>52</c:v>
                </c:pt>
                <c:pt idx="19">
                  <c:v>50</c:v>
                </c:pt>
              </c:numCache>
            </c:numRef>
          </c:yVal>
          <c:smooth val="1"/>
        </c:ser>
        <c:ser>
          <c:idx val="2"/>
          <c:order val="2"/>
          <c:tx>
            <c:strRef>
              <c:f>default!$D$1</c:f>
              <c:strCache>
                <c:ptCount val="1"/>
                <c:pt idx="0">
                  <c:v>RF</c:v>
                </c:pt>
              </c:strCache>
            </c:strRef>
          </c:tx>
          <c:xVal>
            <c:numRef>
              <c:f>default!$A$2:$A$21</c:f>
              <c:numCache>
                <c:formatCode>General</c:formatCode>
                <c:ptCount val="20"/>
                <c:pt idx="0">
                  <c:v>1991</c:v>
                </c:pt>
                <c:pt idx="1">
                  <c:v>1997</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xVal>
          <c:yVal>
            <c:numRef>
              <c:f>default!$D$2:$D$21</c:f>
              <c:numCache>
                <c:formatCode>General</c:formatCode>
                <c:ptCount val="20"/>
                <c:pt idx="0">
                  <c:v>0</c:v>
                </c:pt>
                <c:pt idx="1">
                  <c:v>1</c:v>
                </c:pt>
                <c:pt idx="2">
                  <c:v>0</c:v>
                </c:pt>
                <c:pt idx="3">
                  <c:v>0</c:v>
                </c:pt>
                <c:pt idx="4">
                  <c:v>0</c:v>
                </c:pt>
                <c:pt idx="5">
                  <c:v>0</c:v>
                </c:pt>
                <c:pt idx="6">
                  <c:v>2</c:v>
                </c:pt>
                <c:pt idx="7">
                  <c:v>0</c:v>
                </c:pt>
                <c:pt idx="8">
                  <c:v>0</c:v>
                </c:pt>
                <c:pt idx="9">
                  <c:v>1</c:v>
                </c:pt>
                <c:pt idx="10">
                  <c:v>7</c:v>
                </c:pt>
                <c:pt idx="11">
                  <c:v>8</c:v>
                </c:pt>
                <c:pt idx="12">
                  <c:v>18</c:v>
                </c:pt>
                <c:pt idx="13">
                  <c:v>36</c:v>
                </c:pt>
                <c:pt idx="14">
                  <c:v>38</c:v>
                </c:pt>
                <c:pt idx="15">
                  <c:v>72</c:v>
                </c:pt>
                <c:pt idx="16">
                  <c:v>95</c:v>
                </c:pt>
                <c:pt idx="17">
                  <c:v>83</c:v>
                </c:pt>
                <c:pt idx="18">
                  <c:v>97</c:v>
                </c:pt>
                <c:pt idx="19">
                  <c:v>114</c:v>
                </c:pt>
              </c:numCache>
            </c:numRef>
          </c:yVal>
          <c:smooth val="1"/>
        </c:ser>
        <c:ser>
          <c:idx val="3"/>
          <c:order val="3"/>
          <c:tx>
            <c:strRef>
              <c:f>default!$E$1</c:f>
              <c:strCache>
                <c:ptCount val="1"/>
                <c:pt idx="0">
                  <c:v>MLP</c:v>
                </c:pt>
              </c:strCache>
            </c:strRef>
          </c:tx>
          <c:xVal>
            <c:numRef>
              <c:f>default!$A$2:$A$21</c:f>
              <c:numCache>
                <c:formatCode>General</c:formatCode>
                <c:ptCount val="20"/>
                <c:pt idx="0">
                  <c:v>1991</c:v>
                </c:pt>
                <c:pt idx="1">
                  <c:v>1997</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xVal>
          <c:yVal>
            <c:numRef>
              <c:f>default!$E$2:$E$21</c:f>
              <c:numCache>
                <c:formatCode>General</c:formatCode>
                <c:ptCount val="20"/>
                <c:pt idx="0">
                  <c:v>0</c:v>
                </c:pt>
                <c:pt idx="1">
                  <c:v>0</c:v>
                </c:pt>
                <c:pt idx="2">
                  <c:v>0</c:v>
                </c:pt>
                <c:pt idx="3">
                  <c:v>0</c:v>
                </c:pt>
                <c:pt idx="4">
                  <c:v>0</c:v>
                </c:pt>
                <c:pt idx="5">
                  <c:v>0</c:v>
                </c:pt>
                <c:pt idx="6">
                  <c:v>0</c:v>
                </c:pt>
                <c:pt idx="7">
                  <c:v>0</c:v>
                </c:pt>
                <c:pt idx="8">
                  <c:v>1</c:v>
                </c:pt>
                <c:pt idx="9">
                  <c:v>1</c:v>
                </c:pt>
                <c:pt idx="10">
                  <c:v>2</c:v>
                </c:pt>
                <c:pt idx="11">
                  <c:v>1</c:v>
                </c:pt>
                <c:pt idx="12">
                  <c:v>6</c:v>
                </c:pt>
                <c:pt idx="13">
                  <c:v>6</c:v>
                </c:pt>
                <c:pt idx="14">
                  <c:v>3</c:v>
                </c:pt>
                <c:pt idx="15">
                  <c:v>4</c:v>
                </c:pt>
                <c:pt idx="16">
                  <c:v>43</c:v>
                </c:pt>
                <c:pt idx="17">
                  <c:v>10</c:v>
                </c:pt>
                <c:pt idx="18">
                  <c:v>10</c:v>
                </c:pt>
                <c:pt idx="19">
                  <c:v>4</c:v>
                </c:pt>
              </c:numCache>
            </c:numRef>
          </c:yVal>
          <c:smooth val="1"/>
        </c:ser>
        <c:ser>
          <c:idx val="4"/>
          <c:order val="4"/>
          <c:tx>
            <c:strRef>
              <c:f>default!$F$1</c:f>
              <c:strCache>
                <c:ptCount val="1"/>
                <c:pt idx="0">
                  <c:v>NB</c:v>
                </c:pt>
              </c:strCache>
            </c:strRef>
          </c:tx>
          <c:xVal>
            <c:numRef>
              <c:f>default!$A$2:$A$21</c:f>
              <c:numCache>
                <c:formatCode>General</c:formatCode>
                <c:ptCount val="20"/>
                <c:pt idx="0">
                  <c:v>1991</c:v>
                </c:pt>
                <c:pt idx="1">
                  <c:v>1997</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xVal>
          <c:yVal>
            <c:numRef>
              <c:f>default!$F$2:$F$21</c:f>
              <c:numCache>
                <c:formatCode>General</c:formatCode>
                <c:ptCount val="20"/>
                <c:pt idx="0">
                  <c:v>0</c:v>
                </c:pt>
                <c:pt idx="1">
                  <c:v>0</c:v>
                </c:pt>
                <c:pt idx="2">
                  <c:v>0</c:v>
                </c:pt>
                <c:pt idx="3">
                  <c:v>0</c:v>
                </c:pt>
                <c:pt idx="4">
                  <c:v>2</c:v>
                </c:pt>
                <c:pt idx="5">
                  <c:v>2</c:v>
                </c:pt>
                <c:pt idx="6">
                  <c:v>1</c:v>
                </c:pt>
                <c:pt idx="7">
                  <c:v>1</c:v>
                </c:pt>
                <c:pt idx="8">
                  <c:v>0</c:v>
                </c:pt>
                <c:pt idx="9">
                  <c:v>6</c:v>
                </c:pt>
                <c:pt idx="10">
                  <c:v>16</c:v>
                </c:pt>
                <c:pt idx="11">
                  <c:v>16</c:v>
                </c:pt>
                <c:pt idx="12">
                  <c:v>30</c:v>
                </c:pt>
                <c:pt idx="13">
                  <c:v>42</c:v>
                </c:pt>
                <c:pt idx="14">
                  <c:v>40</c:v>
                </c:pt>
                <c:pt idx="15">
                  <c:v>38</c:v>
                </c:pt>
                <c:pt idx="16">
                  <c:v>187</c:v>
                </c:pt>
                <c:pt idx="17">
                  <c:v>50</c:v>
                </c:pt>
                <c:pt idx="18">
                  <c:v>57</c:v>
                </c:pt>
                <c:pt idx="19">
                  <c:v>43</c:v>
                </c:pt>
              </c:numCache>
            </c:numRef>
          </c:yVal>
          <c:smooth val="1"/>
        </c:ser>
        <c:ser>
          <c:idx val="5"/>
          <c:order val="5"/>
          <c:tx>
            <c:strRef>
              <c:f>default!$G$1</c:f>
              <c:strCache>
                <c:ptCount val="1"/>
                <c:pt idx="0">
                  <c:v>OCC</c:v>
                </c:pt>
              </c:strCache>
            </c:strRef>
          </c:tx>
          <c:xVal>
            <c:numRef>
              <c:f>default!$A$2:$A$21</c:f>
              <c:numCache>
                <c:formatCode>General</c:formatCode>
                <c:ptCount val="20"/>
                <c:pt idx="0">
                  <c:v>1991</c:v>
                </c:pt>
                <c:pt idx="1">
                  <c:v>1997</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xVal>
          <c:yVal>
            <c:numRef>
              <c:f>default!$G$2:$G$21</c:f>
              <c:numCache>
                <c:formatCode>General</c:formatCode>
                <c:ptCount val="20"/>
                <c:pt idx="0">
                  <c:v>0</c:v>
                </c:pt>
                <c:pt idx="1">
                  <c:v>0</c:v>
                </c:pt>
                <c:pt idx="2">
                  <c:v>0</c:v>
                </c:pt>
                <c:pt idx="3">
                  <c:v>0</c:v>
                </c:pt>
                <c:pt idx="4">
                  <c:v>0</c:v>
                </c:pt>
                <c:pt idx="5">
                  <c:v>0</c:v>
                </c:pt>
                <c:pt idx="6">
                  <c:v>0</c:v>
                </c:pt>
                <c:pt idx="7">
                  <c:v>0</c:v>
                </c:pt>
                <c:pt idx="8">
                  <c:v>0</c:v>
                </c:pt>
                <c:pt idx="9">
                  <c:v>0</c:v>
                </c:pt>
                <c:pt idx="10">
                  <c:v>1</c:v>
                </c:pt>
                <c:pt idx="11">
                  <c:v>5</c:v>
                </c:pt>
                <c:pt idx="12">
                  <c:v>2</c:v>
                </c:pt>
                <c:pt idx="13">
                  <c:v>5</c:v>
                </c:pt>
                <c:pt idx="14">
                  <c:v>2</c:v>
                </c:pt>
                <c:pt idx="15">
                  <c:v>2</c:v>
                </c:pt>
                <c:pt idx="16">
                  <c:v>4</c:v>
                </c:pt>
                <c:pt idx="17">
                  <c:v>2</c:v>
                </c:pt>
                <c:pt idx="18">
                  <c:v>3</c:v>
                </c:pt>
                <c:pt idx="19">
                  <c:v>5</c:v>
                </c:pt>
              </c:numCache>
            </c:numRef>
          </c:yVal>
          <c:smooth val="1"/>
        </c:ser>
        <c:dLbls>
          <c:showLegendKey val="0"/>
          <c:showVal val="0"/>
          <c:showCatName val="0"/>
          <c:showSerName val="0"/>
          <c:showPercent val="0"/>
          <c:showBubbleSize val="0"/>
        </c:dLbls>
        <c:axId val="195781376"/>
        <c:axId val="195783296"/>
      </c:scatterChart>
      <c:valAx>
        <c:axId val="195781376"/>
        <c:scaling>
          <c:orientation val="minMax"/>
          <c:max val="2017"/>
          <c:min val="2006"/>
        </c:scaling>
        <c:delete val="0"/>
        <c:axPos val="b"/>
        <c:title>
          <c:tx>
            <c:rich>
              <a:bodyPr/>
              <a:lstStyle/>
              <a:p>
                <a:pPr>
                  <a:defRPr sz="1400"/>
                </a:pPr>
                <a:r>
                  <a:rPr lang="tr-TR" sz="1400"/>
                  <a:t>Year</a:t>
                </a:r>
                <a:endParaRPr lang="en-US" sz="1400"/>
              </a:p>
            </c:rich>
          </c:tx>
          <c:overlay val="0"/>
        </c:title>
        <c:numFmt formatCode="General" sourceLinked="1"/>
        <c:majorTickMark val="none"/>
        <c:minorTickMark val="none"/>
        <c:tickLblPos val="nextTo"/>
        <c:txPr>
          <a:bodyPr/>
          <a:lstStyle/>
          <a:p>
            <a:pPr>
              <a:defRPr sz="1200"/>
            </a:pPr>
            <a:endParaRPr lang="en-US"/>
          </a:p>
        </c:txPr>
        <c:crossAx val="195783296"/>
        <c:crosses val="autoZero"/>
        <c:crossBetween val="midCat"/>
      </c:valAx>
      <c:valAx>
        <c:axId val="195783296"/>
        <c:scaling>
          <c:orientation val="minMax"/>
          <c:min val="0"/>
        </c:scaling>
        <c:delete val="0"/>
        <c:axPos val="l"/>
        <c:majorGridlines/>
        <c:title>
          <c:tx>
            <c:rich>
              <a:bodyPr/>
              <a:lstStyle/>
              <a:p>
                <a:pPr>
                  <a:defRPr sz="1400"/>
                </a:pPr>
                <a:r>
                  <a:rPr lang="tr-TR" sz="1400"/>
                  <a:t>Count</a:t>
                </a:r>
                <a:endParaRPr lang="en-US" sz="1400"/>
              </a:p>
            </c:rich>
          </c:tx>
          <c:overlay val="0"/>
        </c:title>
        <c:numFmt formatCode="General" sourceLinked="1"/>
        <c:majorTickMark val="none"/>
        <c:minorTickMark val="none"/>
        <c:tickLblPos val="nextTo"/>
        <c:txPr>
          <a:bodyPr/>
          <a:lstStyle/>
          <a:p>
            <a:pPr>
              <a:defRPr sz="1200"/>
            </a:pPr>
            <a:endParaRPr lang="en-US"/>
          </a:p>
        </c:txPr>
        <c:crossAx val="195781376"/>
        <c:crosses val="autoZero"/>
        <c:crossBetween val="midCat"/>
      </c:valAx>
    </c:plotArea>
    <c:legend>
      <c:legendPos val="r"/>
      <c:overlay val="0"/>
      <c:txPr>
        <a:bodyPr/>
        <a:lstStyle/>
        <a:p>
          <a:pPr>
            <a:defRPr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jallmer</dc:creator>
  <cp:keywords/>
  <dc:description/>
  <cp:lastModifiedBy>jallmer</cp:lastModifiedBy>
  <cp:revision>6</cp:revision>
  <dcterms:created xsi:type="dcterms:W3CDTF">2017-01-19T12:27:00Z</dcterms:created>
  <dcterms:modified xsi:type="dcterms:W3CDTF">2017-01-24T06:34:00Z</dcterms:modified>
</cp:coreProperties>
</file>