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2" w:rsidRPr="00B816ED" w:rsidRDefault="001B2FB2" w:rsidP="001B2FB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:rsidR="001B2FB2" w:rsidRDefault="001B2FB2" w:rsidP="001B2F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B2" w:rsidRPr="00B816ED" w:rsidRDefault="001B2FB2" w:rsidP="001B2F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16ED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End w:id="0"/>
      <w:r w:rsidRPr="00B81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Mean</w:t>
      </w:r>
      <w:r w:rsidRPr="00B8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values, standard deviation, </w:t>
      </w:r>
      <w:r w:rsidRPr="00B9670F">
        <w:rPr>
          <w:rFonts w:ascii="Times New Roman" w:hAnsi="Times New Roman" w:cs="Times New Roman"/>
          <w:sz w:val="24"/>
          <w:szCs w:val="24"/>
        </w:rPr>
        <w:t>confidence intervals</w:t>
      </w:r>
      <w:r>
        <w:rPr>
          <w:rFonts w:ascii="Times New Roman" w:hAnsi="Times New Roman" w:cs="Times New Roman"/>
          <w:sz w:val="24"/>
          <w:szCs w:val="24"/>
        </w:rPr>
        <w:t xml:space="preserve"> (italics) and effect size θ </w:t>
      </w:r>
      <w:r w:rsidRPr="00B816ED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ravine characteristics (Effect size comparisons are for </w:t>
      </w:r>
      <w:r w:rsidRPr="004D3E49">
        <w:rPr>
          <w:rFonts w:ascii="Times New Roman" w:hAnsi="Times New Roman" w:cs="Times New Roman"/>
          <w:sz w:val="24"/>
          <w:szCs w:val="24"/>
        </w:rPr>
        <w:t>Non-reproductive r</w:t>
      </w:r>
      <w:r>
        <w:rPr>
          <w:rFonts w:ascii="Times New Roman" w:hAnsi="Times New Roman" w:cs="Times New Roman"/>
          <w:sz w:val="24"/>
          <w:szCs w:val="24"/>
        </w:rPr>
        <w:t>avines vs. Reproductive ravines and</w:t>
      </w:r>
      <w:r w:rsidRPr="004D3E49">
        <w:rPr>
          <w:rFonts w:ascii="Times New Roman" w:hAnsi="Times New Roman" w:cs="Times New Roman"/>
          <w:sz w:val="24"/>
          <w:szCs w:val="24"/>
        </w:rPr>
        <w:t xml:space="preserve"> Active ravines vs. Inactive ravines</w:t>
      </w:r>
      <w:r>
        <w:rPr>
          <w:rFonts w:ascii="Times New Roman" w:hAnsi="Times New Roman" w:cs="Times New Roman"/>
          <w:sz w:val="24"/>
          <w:szCs w:val="24"/>
        </w:rPr>
        <w:t>; given by θ = (µ</w:t>
      </w:r>
      <w:r w:rsidRPr="002971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-µ</w:t>
      </w:r>
      <w:r w:rsidRPr="002971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)/σ</w:t>
      </w:r>
      <w:r w:rsidRPr="002971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71D5">
        <w:rPr>
          <w:rFonts w:ascii="Times New Roman" w:hAnsi="Times New Roman" w:cs="Times New Roman"/>
          <w:sz w:val="24"/>
          <w:szCs w:val="24"/>
        </w:rPr>
        <w:t>)</w:t>
      </w:r>
      <w:r w:rsidRPr="00B81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n</w:t>
      </w:r>
      <w:r w:rsidRPr="00B816ED">
        <w:rPr>
          <w:rFonts w:ascii="Times New Roman" w:hAnsi="Times New Roman" w:cs="Times New Roman"/>
          <w:sz w:val="24"/>
          <w:szCs w:val="24"/>
        </w:rPr>
        <w:t>ature of the ravine</w:t>
      </w:r>
      <w:r w:rsidRPr="00A75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(origin geological or artificial of the ravine) </w:t>
      </w:r>
      <w:r w:rsidRPr="005218AF">
        <w:rPr>
          <w:rFonts w:ascii="Times New Roman" w:hAnsi="Times New Roman" w:cs="Times New Roman"/>
          <w:sz w:val="24"/>
          <w:szCs w:val="24"/>
        </w:rPr>
        <w:t>is expressed for bet</w:t>
      </w:r>
      <w:r>
        <w:rPr>
          <w:rFonts w:ascii="Times New Roman" w:hAnsi="Times New Roman" w:cs="Times New Roman"/>
          <w:sz w:val="24"/>
          <w:szCs w:val="24"/>
        </w:rPr>
        <w:t>ter viewing in proportion to</w:t>
      </w:r>
      <w:r w:rsidRPr="005218AF">
        <w:rPr>
          <w:rFonts w:ascii="Times New Roman" w:hAnsi="Times New Roman" w:cs="Times New Roman"/>
          <w:sz w:val="24"/>
          <w:szCs w:val="24"/>
        </w:rPr>
        <w:t xml:space="preserve"> total number of </w:t>
      </w:r>
      <w:r>
        <w:rPr>
          <w:rFonts w:ascii="Times New Roman" w:hAnsi="Times New Roman" w:cs="Times New Roman"/>
          <w:sz w:val="24"/>
          <w:szCs w:val="24"/>
        </w:rPr>
        <w:t xml:space="preserve">artificial ravines for </w:t>
      </w:r>
      <w:r w:rsidRPr="005218AF">
        <w:rPr>
          <w:rFonts w:ascii="Times New Roman" w:hAnsi="Times New Roman" w:cs="Times New Roman"/>
          <w:sz w:val="24"/>
          <w:szCs w:val="24"/>
        </w:rPr>
        <w:t>each category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57E4">
        <w:rPr>
          <w:rFonts w:ascii="Times New Roman" w:hAnsi="Times New Roman" w:cs="Times New Roman"/>
          <w:sz w:val="24"/>
          <w:szCs w:val="24"/>
        </w:rPr>
        <w:t>Numbers in parentheses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E4">
        <w:rPr>
          <w:rFonts w:ascii="Times New Roman" w:hAnsi="Times New Roman" w:cs="Times New Roman"/>
          <w:sz w:val="24"/>
          <w:szCs w:val="24"/>
        </w:rPr>
        <w:t xml:space="preserve">correspond to the number of ravines in each category </w:t>
      </w:r>
      <w:r>
        <w:rPr>
          <w:rFonts w:ascii="Times New Roman" w:hAnsi="Times New Roman" w:cs="Times New Roman"/>
          <w:sz w:val="24"/>
          <w:szCs w:val="24"/>
        </w:rPr>
        <w:t xml:space="preserve">that presented this </w:t>
      </w:r>
      <w:r w:rsidRPr="00A757E4">
        <w:rPr>
          <w:rFonts w:ascii="Times New Roman" w:hAnsi="Times New Roman" w:cs="Times New Roman"/>
          <w:sz w:val="24"/>
          <w:szCs w:val="24"/>
        </w:rPr>
        <w:t>characteristic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6ED">
        <w:rPr>
          <w:rFonts w:ascii="Times New Roman" w:hAnsi="Times New Roman" w:cs="Times New Roman"/>
          <w:sz w:val="24"/>
          <w:szCs w:val="24"/>
        </w:rPr>
        <w:t>(APG = sand with big stones; APM = sand with medium stones; APP = sand with small stones; A = sand without stones; CD =</w:t>
      </w:r>
      <w:r>
        <w:rPr>
          <w:rFonts w:ascii="Times New Roman" w:hAnsi="Times New Roman" w:cs="Times New Roman"/>
          <w:sz w:val="24"/>
          <w:szCs w:val="24"/>
        </w:rPr>
        <w:t xml:space="preserve"> cones of </w:t>
      </w:r>
      <w:r w:rsidRPr="00B816ED">
        <w:rPr>
          <w:rFonts w:ascii="Times New Roman" w:hAnsi="Times New Roman" w:cs="Times New Roman"/>
          <w:sz w:val="24"/>
          <w:szCs w:val="24"/>
        </w:rPr>
        <w:t xml:space="preserve">dejection, DC = </w:t>
      </w:r>
      <w:proofErr w:type="spellStart"/>
      <w:r w:rsidRPr="00B816ED">
        <w:rPr>
          <w:rFonts w:ascii="Times New Roman" w:hAnsi="Times New Roman" w:cs="Times New Roman"/>
          <w:sz w:val="24"/>
          <w:szCs w:val="24"/>
        </w:rPr>
        <w:t>colluvial</w:t>
      </w:r>
      <w:proofErr w:type="spellEnd"/>
      <w:r w:rsidRPr="00B816ED">
        <w:rPr>
          <w:rFonts w:ascii="Times New Roman" w:hAnsi="Times New Roman" w:cs="Times New Roman"/>
          <w:sz w:val="24"/>
          <w:szCs w:val="24"/>
        </w:rPr>
        <w:t xml:space="preserve"> deposits, FL = flow sandy slope, TA = alluvial terrace; TE = </w:t>
      </w:r>
      <w:proofErr w:type="spellStart"/>
      <w:r w:rsidRPr="00B816ED">
        <w:rPr>
          <w:rFonts w:ascii="Times New Roman" w:hAnsi="Times New Roman" w:cs="Times New Roman"/>
          <w:sz w:val="24"/>
          <w:szCs w:val="24"/>
        </w:rPr>
        <w:t>talud</w:t>
      </w:r>
      <w:proofErr w:type="spellEnd"/>
      <w:r w:rsidRPr="00B816ED">
        <w:rPr>
          <w:rFonts w:ascii="Times New Roman" w:hAnsi="Times New Roman" w:cs="Times New Roman"/>
          <w:sz w:val="24"/>
          <w:szCs w:val="24"/>
        </w:rPr>
        <w:t xml:space="preserve"> erosion).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510"/>
        <w:gridCol w:w="1498"/>
        <w:gridCol w:w="858"/>
        <w:gridCol w:w="1530"/>
        <w:gridCol w:w="1652"/>
        <w:gridCol w:w="817"/>
      </w:tblGrid>
      <w:tr w:rsidR="001B2FB2" w:rsidRPr="007D269F" w:rsidTr="00497A3F">
        <w:trPr>
          <w:trHeight w:val="183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Variable</w:t>
            </w:r>
          </w:p>
        </w:tc>
        <w:tc>
          <w:tcPr>
            <w:tcW w:w="1510" w:type="dxa"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Non-reproductive ravines</w:t>
            </w:r>
          </w:p>
        </w:tc>
        <w:tc>
          <w:tcPr>
            <w:tcW w:w="1498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Reproductive ravines </w:t>
            </w:r>
          </w:p>
        </w:tc>
        <w:tc>
          <w:tcPr>
            <w:tcW w:w="858" w:type="dxa"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Effect size </w:t>
            </w:r>
            <w:r w:rsidRPr="00F41440">
              <w:rPr>
                <w:rFonts w:ascii="Times New Roman" w:hAnsi="Times New Roman" w:cs="Times New Roman"/>
                <w:b/>
                <w:sz w:val="24"/>
                <w:szCs w:val="24"/>
              </w:rPr>
              <w:t>θ</w:t>
            </w:r>
          </w:p>
        </w:tc>
        <w:tc>
          <w:tcPr>
            <w:tcW w:w="1530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Active reproductive ravines</w:t>
            </w:r>
          </w:p>
        </w:tc>
        <w:tc>
          <w:tcPr>
            <w:tcW w:w="165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Inactive reproductive ravines</w:t>
            </w:r>
          </w:p>
        </w:tc>
        <w:tc>
          <w:tcPr>
            <w:tcW w:w="817" w:type="dxa"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Effect size</w:t>
            </w:r>
            <w:r w:rsidRPr="00F4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θ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Slope (pitch)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73.1 (± 12.57)(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±3.01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82.87 (± 7.14)(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2.21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-1.37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82.95  (± 6.34)(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±2.65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82.06 (± 9.41)(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±4.36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0.14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Area (m</w:t>
            </w:r>
            <w:r w:rsidRPr="00F4144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</w:rPr>
              <w:t>2</w:t>
            </w: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223.54 (± 241.31)(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±59.12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368.45 (± 382.9)(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118.66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-0.38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387.57  (±349.06)(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±145.86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311.1 (± 487.67)(±225.29)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0.22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Height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6.8 (± 3.95)(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±0.97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8.13 (± 4.2)(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1.3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-0.32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8.91  (± 4.13)(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±1.73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5. 81 (± 3.73)(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±1.72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0.75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Water distance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2406. 36  (± 1773.4)(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±434.48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166.363 (± 1590)(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492.75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1.41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1645.89  (± 1680)(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±702.02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1715.8 (± 1362.6)(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±629.49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-0.04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Roosting distance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3003.23 (± 1988.33)(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±487.14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3682.8 (± 4470,2)(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1385.33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-0.15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4360.78  (± 4949)(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±2068.055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1648.86 (± 1241,9)(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±573.73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0.55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Road distance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565. 52  (± 1199.37)(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±293.85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1190.34  (± 2367.83)(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733.8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-0.26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1342.86  (± 2627.28)(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±1097.87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732.81 (± 1320.45)(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±610.02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0.23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Urban distance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1820.83  (± 1391. 39)(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±340.89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1595.27 (± 1369.2)(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424.32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0.16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1713.45  (± 1438. 11)(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±600.95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1240.73 (± 1128)(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±521.11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0.32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Food abundance (m)</w:t>
            </w:r>
          </w:p>
        </w:tc>
        <w:tc>
          <w:tcPr>
            <w:tcW w:w="1510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9. 05  (± 13,28)(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±3.25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498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8.15 (± 11.5)(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 3.6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0.08</w:t>
            </w:r>
          </w:p>
        </w:tc>
        <w:tc>
          <w:tcPr>
            <w:tcW w:w="1530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8.63  (± 11. 82)(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±4.94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652" w:type="dxa"/>
            <w:noWrap/>
            <w:vAlign w:val="bottom"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6. 7 (± 11. 15)(</w:t>
            </w:r>
            <w:r w:rsidRPr="007D634A">
              <w:rPr>
                <w:rFonts w:ascii="Times New Roman" w:hAnsi="Times New Roman" w:cs="Times New Roman"/>
                <w:i/>
                <w:color w:val="000000"/>
                <w:sz w:val="18"/>
              </w:rPr>
              <w:t>±5.15</w:t>
            </w:r>
            <w:r w:rsidRPr="007D269F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17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0.16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Substratum (m)</w:t>
            </w:r>
          </w:p>
        </w:tc>
        <w:tc>
          <w:tcPr>
            <w:tcW w:w="1510" w:type="dxa"/>
          </w:tcPr>
          <w:p w:rsidR="001B2FB2" w:rsidRPr="007D634A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634A">
              <w:rPr>
                <w:rFonts w:ascii="Times New Roman" w:hAnsi="Times New Roman" w:cs="Times New Roman"/>
                <w:sz w:val="18"/>
              </w:rPr>
              <w:t>APM (30) A(2)APG (8)APP(25)</w:t>
            </w:r>
          </w:p>
        </w:tc>
        <w:tc>
          <w:tcPr>
            <w:tcW w:w="1498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APM(19) A(1) APG (3) APP(17)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30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APG (3) APM(12) APP(14)A(1)</w:t>
            </w:r>
          </w:p>
        </w:tc>
        <w:tc>
          <w:tcPr>
            <w:tcW w:w="1652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APG(0) APM(7) APP(3)</w:t>
            </w:r>
          </w:p>
        </w:tc>
        <w:tc>
          <w:tcPr>
            <w:tcW w:w="817" w:type="dxa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Geological origin</w:t>
            </w:r>
          </w:p>
        </w:tc>
        <w:tc>
          <w:tcPr>
            <w:tcW w:w="1510" w:type="dxa"/>
          </w:tcPr>
          <w:p w:rsidR="001B2FB2" w:rsidRPr="00D74D02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s-ES"/>
              </w:rPr>
            </w:pPr>
            <w:r w:rsidRPr="00D74D02">
              <w:rPr>
                <w:rFonts w:ascii="Times New Roman" w:hAnsi="Times New Roman" w:cs="Times New Roman"/>
                <w:sz w:val="18"/>
                <w:lang w:val="es-CL"/>
              </w:rPr>
              <w:t>CD(12) DC(49) FL(2) TA (0) TE (2)</w:t>
            </w:r>
          </w:p>
        </w:tc>
        <w:tc>
          <w:tcPr>
            <w:tcW w:w="1498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s-ES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>CD(16) DC(21) FL (0) TA(3) TE(0)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s-ES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  <w:lang w:val="es-ES"/>
              </w:rPr>
              <w:t>-</w:t>
            </w:r>
          </w:p>
        </w:tc>
        <w:tc>
          <w:tcPr>
            <w:tcW w:w="1530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CD(11)  DC (16) TA (3)</w:t>
            </w:r>
          </w:p>
        </w:tc>
        <w:tc>
          <w:tcPr>
            <w:tcW w:w="1652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CD(5) DC(5)</w:t>
            </w:r>
          </w:p>
        </w:tc>
        <w:tc>
          <w:tcPr>
            <w:tcW w:w="817" w:type="dxa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B2FB2" w:rsidRPr="007D269F" w:rsidTr="00497A3F">
        <w:trPr>
          <w:trHeight w:val="300"/>
          <w:jc w:val="center"/>
        </w:trPr>
        <w:tc>
          <w:tcPr>
            <w:tcW w:w="1282" w:type="dxa"/>
            <w:noWrap/>
            <w:hideMark/>
          </w:tcPr>
          <w:p w:rsidR="001B2FB2" w:rsidRPr="00F41440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1440">
              <w:rPr>
                <w:rFonts w:ascii="Times New Roman" w:hAnsi="Times New Roman" w:cs="Times New Roman"/>
                <w:b/>
                <w:sz w:val="18"/>
                <w:szCs w:val="24"/>
              </w:rPr>
              <w:t>Nature of the ravine.</w:t>
            </w:r>
          </w:p>
        </w:tc>
        <w:tc>
          <w:tcPr>
            <w:tcW w:w="1510" w:type="dxa"/>
          </w:tcPr>
          <w:p w:rsidR="001B2FB2" w:rsidRPr="00D74D02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74D02">
              <w:rPr>
                <w:rFonts w:ascii="Times New Roman" w:hAnsi="Times New Roman" w:cs="Times New Roman"/>
                <w:sz w:val="18"/>
              </w:rPr>
              <w:t>8/40</w:t>
            </w:r>
          </w:p>
        </w:tc>
        <w:tc>
          <w:tcPr>
            <w:tcW w:w="1498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9/65</w:t>
            </w:r>
          </w:p>
        </w:tc>
        <w:tc>
          <w:tcPr>
            <w:tcW w:w="858" w:type="dxa"/>
            <w:vAlign w:val="bottom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30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8/30</w:t>
            </w:r>
          </w:p>
        </w:tc>
        <w:tc>
          <w:tcPr>
            <w:tcW w:w="1652" w:type="dxa"/>
            <w:noWrap/>
            <w:hideMark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0/10</w:t>
            </w:r>
          </w:p>
        </w:tc>
        <w:tc>
          <w:tcPr>
            <w:tcW w:w="817" w:type="dxa"/>
          </w:tcPr>
          <w:p w:rsidR="001B2FB2" w:rsidRPr="007D269F" w:rsidRDefault="001B2FB2" w:rsidP="00497A3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D269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1B2FB2" w:rsidRPr="00B816ED" w:rsidRDefault="001B2FB2" w:rsidP="001B2FB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26C7F" w:rsidRDefault="00426C7F"/>
    <w:sectPr w:rsidR="00426C7F" w:rsidSect="001406D4">
      <w:footerReference w:type="even" r:id="rId5"/>
      <w:footerReference w:type="default" r:id="rId6"/>
      <w:pgSz w:w="12240" w:h="15840" w:code="1"/>
      <w:pgMar w:top="1418" w:right="1608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4A" w:rsidRDefault="001B2FB2" w:rsidP="00985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D634A" w:rsidRDefault="001B2FB2" w:rsidP="001942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4A" w:rsidRDefault="001B2FB2" w:rsidP="00985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634A" w:rsidRDefault="001B2FB2" w:rsidP="001406D4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2"/>
    <w:rsid w:val="001B2FB2"/>
    <w:rsid w:val="004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B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FB2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B2FB2"/>
  </w:style>
  <w:style w:type="table" w:styleId="Tablaconcuadrcula">
    <w:name w:val="Table Grid"/>
    <w:basedOn w:val="Tablanormal"/>
    <w:uiPriority w:val="59"/>
    <w:rsid w:val="001B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B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B2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FB2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1B2FB2"/>
  </w:style>
  <w:style w:type="table" w:styleId="Tablaconcuadrcula">
    <w:name w:val="Table Grid"/>
    <w:basedOn w:val="Tablanormal"/>
    <w:uiPriority w:val="59"/>
    <w:rsid w:val="001B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B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2017-03-06T18:50:00Z</dcterms:created>
  <dcterms:modified xsi:type="dcterms:W3CDTF">2017-03-06T18:50:00Z</dcterms:modified>
</cp:coreProperties>
</file>