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7C" w:rsidRPr="003A0582" w:rsidRDefault="006C737C" w:rsidP="00DB5FC4">
      <w:pPr>
        <w:rPr>
          <w:rFonts w:ascii="Times New Roman" w:hAnsi="Times New Roman" w:cs="Times New Roman"/>
          <w:b/>
          <w:sz w:val="24"/>
          <w:szCs w:val="24"/>
        </w:rPr>
      </w:pPr>
      <w:r w:rsidRPr="003A0582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3A0582" w:rsidRPr="003A0582" w:rsidRDefault="003A0582" w:rsidP="003A0582">
      <w:pPr>
        <w:rPr>
          <w:rFonts w:ascii="Times New Roman" w:hAnsi="Times New Roman" w:cs="Times New Roman"/>
          <w:sz w:val="24"/>
          <w:szCs w:val="24"/>
        </w:rPr>
      </w:pPr>
      <w:r w:rsidRPr="003A0582">
        <w:rPr>
          <w:rFonts w:ascii="Times New Roman" w:hAnsi="Times New Roman" w:cs="Times New Roman"/>
          <w:b/>
          <w:sz w:val="24"/>
          <w:szCs w:val="24"/>
        </w:rPr>
        <w:t>Table S1.</w:t>
      </w:r>
      <w:r w:rsidRPr="003A0582">
        <w:rPr>
          <w:rFonts w:ascii="Times New Roman" w:hAnsi="Times New Roman" w:cs="Times New Roman"/>
          <w:sz w:val="24"/>
          <w:szCs w:val="24"/>
        </w:rPr>
        <w:t xml:space="preserve">  Results of a SIMPER analysis, revealing the OTUs that differentiated the early communities from the late communities, contributing at least 1% to the observed dissimilarity.  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040"/>
        <w:gridCol w:w="1640"/>
        <w:gridCol w:w="1920"/>
        <w:gridCol w:w="2900"/>
        <w:gridCol w:w="1307"/>
        <w:gridCol w:w="1353"/>
      </w:tblGrid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OTU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Phylum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Order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Genus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Average Dissimilarity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% Contribution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i/>
                <w:iCs/>
                <w:color w:val="000000"/>
              </w:rPr>
              <w:t>Early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Bacteroidetes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Bacteroidales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Bacteroides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2.96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4.36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Faecalibacterium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3.04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Blautia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Lachnospiracea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incertae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sedis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Bacteroidetes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Bacteroidales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Parabacteroides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Oscillibacter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Selenomonadales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Megasphaera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Ruminococcus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Clostridium </w:t>
            </w: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XlVa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Selenomonadales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Acidaminococcus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Clostridium IV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Selenomonadales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Phascolarctobacterium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1.77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Proteobacteria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Enterobacteriales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Proteus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Synergistetes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Synergistales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Cloacibacillus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i/>
                <w:iCs/>
                <w:color w:val="000000"/>
              </w:rPr>
              <w:t>Late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Firmicutes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Clostridiales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Clostridium </w:t>
            </w: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sensu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stricto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5.15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Proteobacteria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Xanthomonadales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Ignatzschineria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2.32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3.42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Proteobacteria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Xanthomonadales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Wohlfahrtiimonas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</w:tr>
      <w:tr w:rsidR="003A0582" w:rsidRPr="00B85C30" w:rsidTr="0029705C">
        <w:trPr>
          <w:trHeight w:val="2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Otu018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Proteobacteria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85C30">
              <w:rPr>
                <w:rFonts w:ascii="Calibri" w:eastAsia="Times New Roman" w:hAnsi="Calibri" w:cs="Times New Roman"/>
                <w:color w:val="000000"/>
              </w:rPr>
              <w:t>Pseudomonadales</w:t>
            </w:r>
            <w:proofErr w:type="spellEnd"/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297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 xml:space="preserve">Acinetobacter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2" w:rsidRPr="00B85C30" w:rsidRDefault="003A0582" w:rsidP="003A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C30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</w:tr>
    </w:tbl>
    <w:p w:rsidR="006C737C" w:rsidRDefault="006C737C" w:rsidP="00DB5FC4"/>
    <w:p w:rsidR="003A0582" w:rsidRDefault="003A0582" w:rsidP="00DB5FC4"/>
    <w:p w:rsidR="003A0582" w:rsidRDefault="003A0582" w:rsidP="00DB5FC4"/>
    <w:p w:rsidR="006C737C" w:rsidRDefault="00062316" w:rsidP="00DB5FC4">
      <w:r>
        <w:rPr>
          <w:noProof/>
        </w:rPr>
        <w:lastRenderedPageBreak/>
        <w:drawing>
          <wp:inline distT="0" distB="0" distL="0" distR="0">
            <wp:extent cx="4975127" cy="3723701"/>
            <wp:effectExtent l="0" t="0" r="0" b="0"/>
            <wp:docPr id="3" name="Picture 3" descr="C:\Users\jdebruyn\Google Drive\Projects\Project - Taphonomy\2012 Postmortem Gut\PMG_16Slibraries\PeerJ submission - Copy\FigureS1 - d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bruyn\Google Drive\Projects\Project - Taphonomy\2012 Postmortem Gut\PMG_16Slibraries\PeerJ submission - Copy\FigureS1 - divers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29" cy="37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7C" w:rsidRDefault="006C737C" w:rsidP="00DB5FC4">
      <w:pPr>
        <w:rPr>
          <w:rFonts w:ascii="Times New Roman" w:hAnsi="Times New Roman" w:cs="Times New Roman"/>
          <w:sz w:val="24"/>
          <w:szCs w:val="24"/>
        </w:rPr>
      </w:pPr>
      <w:r w:rsidRPr="003A0582">
        <w:rPr>
          <w:rFonts w:ascii="Times New Roman" w:hAnsi="Times New Roman" w:cs="Times New Roman"/>
          <w:b/>
          <w:sz w:val="24"/>
          <w:szCs w:val="24"/>
        </w:rPr>
        <w:t>Figure S1.</w:t>
      </w:r>
      <w:r w:rsidRPr="003A05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A0582">
        <w:rPr>
          <w:rFonts w:ascii="Times New Roman" w:hAnsi="Times New Roman" w:cs="Times New Roman"/>
          <w:sz w:val="24"/>
          <w:szCs w:val="24"/>
        </w:rPr>
        <w:t>Diversity (Inverse Simpson Index) of the gut bacterial communities in three cadavers.</w:t>
      </w:r>
      <w:proofErr w:type="gramEnd"/>
    </w:p>
    <w:p w:rsidR="00FD66E6" w:rsidRDefault="00FD66E6" w:rsidP="00DB5FC4">
      <w:pPr>
        <w:rPr>
          <w:rFonts w:ascii="Times New Roman" w:hAnsi="Times New Roman" w:cs="Times New Roman"/>
          <w:sz w:val="24"/>
          <w:szCs w:val="24"/>
        </w:rPr>
      </w:pPr>
    </w:p>
    <w:p w:rsidR="00FD66E6" w:rsidRDefault="00FD66E6" w:rsidP="00DB5FC4">
      <w:pPr>
        <w:rPr>
          <w:rFonts w:ascii="Times New Roman" w:hAnsi="Times New Roman" w:cs="Times New Roman"/>
          <w:sz w:val="24"/>
          <w:szCs w:val="24"/>
        </w:rPr>
      </w:pPr>
    </w:p>
    <w:p w:rsidR="00FD66E6" w:rsidRDefault="00FD66E6" w:rsidP="00DB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7974" cy="2225407"/>
            <wp:effectExtent l="0" t="0" r="3810" b="3810"/>
            <wp:docPr id="2" name="Picture 2" descr="C:\Users\jdebruyn\Google Drive\Projects\Project - Taphonomy\2012 Postmortem Gut\PMG_16Slibraries\PeerJ submission - Copy\FigureS2 - clus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bruyn\Google Drive\Projects\Project - Taphonomy\2012 Postmortem Gut\PMG_16Slibraries\PeerJ submission - Copy\FigureS2 - cluste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8" r="6308"/>
                    <a:stretch/>
                  </pic:blipFill>
                  <pic:spPr bwMode="auto">
                    <a:xfrm>
                      <a:off x="0" y="0"/>
                      <a:ext cx="6009579" cy="22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582" w:rsidRDefault="00FD66E6" w:rsidP="00DB5FC4">
      <w:r w:rsidRPr="00FD66E6">
        <w:rPr>
          <w:rFonts w:ascii="Times New Roman" w:hAnsi="Times New Roman" w:cs="Times New Roman"/>
          <w:b/>
          <w:sz w:val="24"/>
          <w:szCs w:val="24"/>
        </w:rPr>
        <w:t>Figure S2.</w:t>
      </w:r>
      <w:r>
        <w:rPr>
          <w:rFonts w:ascii="Times New Roman" w:hAnsi="Times New Roman" w:cs="Times New Roman"/>
          <w:sz w:val="24"/>
          <w:szCs w:val="24"/>
        </w:rPr>
        <w:t xml:space="preserve">  Hierarchical group average clustering of Bray-Curtis similarities shows the samples split into two clusters, one corresponding to samples taken early in decay (prior to day 7) and the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samples taken later in decay.  </w:t>
      </w:r>
      <w:r w:rsidRPr="00D87B79">
        <w:rPr>
          <w:rFonts w:ascii="Times New Roman" w:hAnsi="Times New Roman" w:cs="Times New Roman"/>
          <w:sz w:val="24"/>
          <w:szCs w:val="24"/>
        </w:rPr>
        <w:t xml:space="preserve">Symbols represent the three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D87B79">
        <w:rPr>
          <w:rFonts w:ascii="Times New Roman" w:hAnsi="Times New Roman" w:cs="Times New Roman"/>
          <w:sz w:val="24"/>
          <w:szCs w:val="24"/>
        </w:rPr>
        <w:t>: B6 (diamonds), C5 (triangles), D6 (squares) and numbers refer to the day postmortem.</w:t>
      </w:r>
      <w:bookmarkStart w:id="0" w:name="_GoBack"/>
      <w:bookmarkEnd w:id="0"/>
    </w:p>
    <w:sectPr w:rsidR="003A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4"/>
    <w:rsid w:val="00062316"/>
    <w:rsid w:val="000B0574"/>
    <w:rsid w:val="003A0582"/>
    <w:rsid w:val="006C737C"/>
    <w:rsid w:val="00D3481E"/>
    <w:rsid w:val="00DB5FC4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F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F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DeBruyn, Jennifer Mary</dc:creator>
  <cp:lastModifiedBy>DeBruyn, Jennifer Mary</cp:lastModifiedBy>
  <cp:revision>5</cp:revision>
  <dcterms:created xsi:type="dcterms:W3CDTF">2015-05-12T16:15:00Z</dcterms:created>
  <dcterms:modified xsi:type="dcterms:W3CDTF">2017-05-12T16:46:00Z</dcterms:modified>
</cp:coreProperties>
</file>