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44" w:rsidRDefault="00AF6A44" w:rsidP="00AF6A44">
      <w:pPr>
        <w:autoSpaceDE w:val="0"/>
        <w:autoSpaceDN w:val="0"/>
        <w:adjustRightInd w:val="0"/>
        <w:spacing w:line="400" w:lineRule="atLeast"/>
        <w:jc w:val="left"/>
      </w:pPr>
    </w:p>
    <w:tbl>
      <w:tblPr>
        <w:tblStyle w:val="-6"/>
        <w:tblW w:w="4861" w:type="dxa"/>
        <w:jc w:val="center"/>
        <w:tblLayout w:type="fixed"/>
        <w:tblLook w:val="0620" w:firstRow="1" w:lastRow="0" w:firstColumn="0" w:lastColumn="0" w:noHBand="1" w:noVBand="1"/>
      </w:tblPr>
      <w:tblGrid>
        <w:gridCol w:w="2675"/>
        <w:gridCol w:w="2186"/>
      </w:tblGrid>
      <w:tr w:rsidR="00AF6A44" w:rsidRPr="00E00F1C" w:rsidTr="00DC3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hint="eastAsia"/>
                <w:color w:val="auto"/>
                <w:kern w:val="0"/>
                <w:sz w:val="20"/>
                <w:szCs w:val="20"/>
              </w:rPr>
              <w:t>ariable</w:t>
            </w:r>
          </w:p>
        </w:tc>
        <w:tc>
          <w:tcPr>
            <w:tcW w:w="2186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232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Sex</w:t>
            </w:r>
          </w:p>
        </w:tc>
        <w:tc>
          <w:tcPr>
            <w:tcW w:w="2186" w:type="dxa"/>
          </w:tcPr>
          <w:p w:rsidR="00AF6A44" w:rsidRPr="00823216" w:rsidRDefault="00C6074B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2321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2186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(79.7%)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2321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2186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(20.3%)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32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Age</w:t>
            </w:r>
            <w:r w:rsidR="007111DD">
              <w:rPr>
                <w:rFonts w:ascii="Times New Roman" w:hAnsi="Times New Roman" w:cs="Times New Roman"/>
                <w:b/>
                <w:i/>
                <w:color w:val="FF0000"/>
                <w:kern w:val="0"/>
                <w:sz w:val="20"/>
                <w:szCs w:val="20"/>
              </w:rPr>
              <w:t xml:space="preserve"> (years)</w:t>
            </w:r>
          </w:p>
        </w:tc>
        <w:tc>
          <w:tcPr>
            <w:tcW w:w="2186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60.05</w:t>
            </w:r>
            <w:r w:rsidRPr="0082321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10.80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32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WBC</w:t>
            </w:r>
            <w:r w:rsidR="007111DD">
              <w:rPr>
                <w:rFonts w:ascii="Times New Roman" w:hAnsi="Times New Roman" w:cs="Times New Roman"/>
                <w:b/>
                <w:i/>
                <w:color w:val="FF0000"/>
                <w:kern w:val="0"/>
                <w:sz w:val="20"/>
                <w:szCs w:val="20"/>
              </w:rPr>
              <w:t xml:space="preserve"> (10</w:t>
            </w:r>
            <w:r w:rsidR="007111DD">
              <w:rPr>
                <w:rFonts w:ascii="Times New Roman" w:hAnsi="Times New Roman" w:cs="Times New Roman"/>
                <w:b/>
                <w:i/>
                <w:color w:val="FF0000"/>
                <w:kern w:val="0"/>
                <w:sz w:val="20"/>
                <w:szCs w:val="20"/>
                <w:vertAlign w:val="superscript"/>
              </w:rPr>
              <w:t>9</w:t>
            </w:r>
            <w:r w:rsidR="007111DD">
              <w:rPr>
                <w:rFonts w:ascii="Times New Roman" w:hAnsi="Times New Roman" w:cs="Times New Roman"/>
                <w:b/>
                <w:i/>
                <w:color w:val="FF0000"/>
                <w:kern w:val="0"/>
                <w:sz w:val="20"/>
                <w:szCs w:val="20"/>
              </w:rPr>
              <w:t>/L)</w:t>
            </w:r>
          </w:p>
        </w:tc>
        <w:tc>
          <w:tcPr>
            <w:tcW w:w="2186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7.77</w:t>
            </w:r>
            <w:r w:rsidRPr="0082321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3.26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32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LDH</w:t>
            </w:r>
            <w:r w:rsidR="007111DD">
              <w:rPr>
                <w:rFonts w:ascii="Times New Roman" w:hAnsi="Times New Roman" w:cs="Times New Roman"/>
                <w:b/>
                <w:i/>
                <w:color w:val="FF0000"/>
                <w:kern w:val="0"/>
                <w:sz w:val="20"/>
                <w:szCs w:val="20"/>
              </w:rPr>
              <w:t xml:space="preserve"> (U/L)</w:t>
            </w:r>
          </w:p>
        </w:tc>
        <w:tc>
          <w:tcPr>
            <w:tcW w:w="2186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333.39</w:t>
            </w:r>
            <w:r w:rsidRPr="0082321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232.91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F343DC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343DC">
              <w:rPr>
                <w:rFonts w:ascii="Times New Roman" w:hAnsi="Times New Roman" w:cs="Times New Roman" w:hint="eastAsia"/>
                <w:b/>
                <w:i/>
                <w:color w:val="auto"/>
                <w:sz w:val="20"/>
                <w:szCs w:val="20"/>
              </w:rPr>
              <w:t xml:space="preserve">ECOG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performance </w:t>
            </w:r>
            <w:r w:rsidRPr="00F343DC">
              <w:rPr>
                <w:rFonts w:ascii="Times New Roman" w:hAnsi="Times New Roman" w:cs="Times New Roman" w:hint="eastAsia"/>
                <w:b/>
                <w:i/>
                <w:color w:val="auto"/>
                <w:sz w:val="20"/>
                <w:szCs w:val="20"/>
              </w:rPr>
              <w:t>status</w:t>
            </w:r>
          </w:p>
        </w:tc>
        <w:tc>
          <w:tcPr>
            <w:tcW w:w="2186" w:type="dxa"/>
          </w:tcPr>
          <w:p w:rsidR="00AF6A44" w:rsidRPr="00823216" w:rsidRDefault="00C6074B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DA204F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04F">
              <w:rPr>
                <w:rFonts w:ascii="Times New Roman" w:hAnsi="Times New Roman" w:cs="Times New Roman" w:hint="eastAsia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186" w:type="dxa"/>
          </w:tcPr>
          <w:p w:rsidR="00AF6A44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(71.9%)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DA204F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04F">
              <w:rPr>
                <w:rFonts w:ascii="Times New Roman" w:hAnsi="Times New Roman" w:cs="Times New Roman" w:hint="eastAsia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186" w:type="dxa"/>
          </w:tcPr>
          <w:p w:rsidR="00AF6A44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(21.9%)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DA204F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04F">
              <w:rPr>
                <w:rFonts w:ascii="Times New Roman" w:hAnsi="Times New Roman" w:cs="Times New Roman" w:hint="eastAsia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186" w:type="dxa"/>
          </w:tcPr>
          <w:p w:rsidR="00AF6A44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(6.2%)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32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Ann Arbor stage</w:t>
            </w:r>
          </w:p>
        </w:tc>
        <w:tc>
          <w:tcPr>
            <w:tcW w:w="2186" w:type="dxa"/>
          </w:tcPr>
          <w:p w:rsidR="00AF6A44" w:rsidRPr="00823216" w:rsidRDefault="00C6074B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86D64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2186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(4.69%)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86D64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2186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(50.0%)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86D64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2186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(45.31%)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</w:rPr>
            </w:pPr>
            <w:r w:rsidRPr="00823216"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</w:rPr>
              <w:t xml:space="preserve">Location </w:t>
            </w:r>
          </w:p>
        </w:tc>
        <w:tc>
          <w:tcPr>
            <w:tcW w:w="2186" w:type="dxa"/>
          </w:tcPr>
          <w:p w:rsidR="00AF6A44" w:rsidRPr="00823216" w:rsidRDefault="00C6074B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2321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Nodal </w:t>
            </w:r>
          </w:p>
        </w:tc>
        <w:tc>
          <w:tcPr>
            <w:tcW w:w="2186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(71.9%)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82321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Extra-nodal</w:t>
            </w:r>
          </w:p>
        </w:tc>
        <w:tc>
          <w:tcPr>
            <w:tcW w:w="2186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(28.1%)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32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B symptoms</w:t>
            </w:r>
          </w:p>
        </w:tc>
        <w:tc>
          <w:tcPr>
            <w:tcW w:w="2186" w:type="dxa"/>
          </w:tcPr>
          <w:p w:rsidR="00AF6A44" w:rsidRPr="00823216" w:rsidRDefault="00C6074B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2186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(45.3%)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2186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(54.7%)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2663C0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</w:rPr>
            </w:pPr>
            <w:r w:rsidRPr="002663C0"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</w:rPr>
              <w:t>R</w:t>
            </w:r>
            <w:r w:rsidRPr="002663C0">
              <w:rPr>
                <w:rFonts w:ascii="Times New Roman" w:hAnsi="Times New Roman" w:cs="Times New Roman" w:hint="eastAsia"/>
                <w:b/>
                <w:i/>
                <w:color w:val="000000"/>
                <w:kern w:val="0"/>
                <w:sz w:val="20"/>
                <w:szCs w:val="20"/>
              </w:rPr>
              <w:t xml:space="preserve">isk </w:t>
            </w:r>
            <w:r w:rsidRPr="002663C0"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</w:rPr>
              <w:t>group</w:t>
            </w:r>
          </w:p>
        </w:tc>
        <w:tc>
          <w:tcPr>
            <w:tcW w:w="2186" w:type="dxa"/>
          </w:tcPr>
          <w:p w:rsidR="00AF6A44" w:rsidRDefault="00C6074B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2186" w:type="dxa"/>
          </w:tcPr>
          <w:p w:rsidR="00AF6A44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F4D2A">
              <w:rPr>
                <w:color w:val="auto"/>
              </w:rPr>
              <w:t>11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(35.5%)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intermediate</w:t>
            </w:r>
          </w:p>
        </w:tc>
        <w:tc>
          <w:tcPr>
            <w:tcW w:w="2186" w:type="dxa"/>
          </w:tcPr>
          <w:p w:rsidR="00AF6A44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F4D2A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(51.6%)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high</w:t>
            </w:r>
          </w:p>
        </w:tc>
        <w:tc>
          <w:tcPr>
            <w:tcW w:w="2186" w:type="dxa"/>
          </w:tcPr>
          <w:p w:rsidR="00AF6A44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F4D2A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(12.9%)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C635CA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</w:rPr>
            </w:pPr>
            <w:r w:rsidRPr="00C635CA"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</w:rPr>
              <w:t>T</w:t>
            </w:r>
            <w:r w:rsidRPr="00C635CA">
              <w:rPr>
                <w:rFonts w:ascii="Times New Roman" w:hAnsi="Times New Roman" w:cs="Times New Roman" w:hint="eastAsia"/>
                <w:b/>
                <w:i/>
                <w:color w:val="000000"/>
                <w:kern w:val="0"/>
                <w:sz w:val="20"/>
                <w:szCs w:val="20"/>
              </w:rPr>
              <w:t>reatment</w:t>
            </w:r>
            <w:r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86" w:type="dxa"/>
          </w:tcPr>
          <w:p w:rsidR="00AF6A44" w:rsidRPr="00F51CD0" w:rsidRDefault="00C6074B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F51CD0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31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CHOP</w:t>
            </w:r>
          </w:p>
        </w:tc>
        <w:tc>
          <w:tcPr>
            <w:tcW w:w="2186" w:type="dxa"/>
          </w:tcPr>
          <w:p w:rsidR="00AF6A44" w:rsidRPr="00F51CD0" w:rsidRDefault="00AF6A44" w:rsidP="00F51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F51CD0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1</w:t>
            </w:r>
            <w:r w:rsidR="00F51CD0" w:rsidRPr="00F51CD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3</w:t>
            </w:r>
            <w:r w:rsidRPr="00F51CD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F51CD0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(</w:t>
            </w:r>
            <w:r w:rsidRPr="00F51CD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4</w:t>
            </w:r>
            <w:r w:rsidR="00F51CD0" w:rsidRPr="00F51CD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1</w:t>
            </w:r>
            <w:r w:rsidRPr="00F51CD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.</w:t>
            </w:r>
            <w:r w:rsidR="00F51CD0" w:rsidRPr="00F51CD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9</w:t>
            </w:r>
            <w:r w:rsidRPr="00F51CD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CHOPE</w:t>
            </w:r>
          </w:p>
        </w:tc>
        <w:tc>
          <w:tcPr>
            <w:tcW w:w="2186" w:type="dxa"/>
          </w:tcPr>
          <w:p w:rsidR="00AF6A44" w:rsidRPr="00F51CD0" w:rsidRDefault="00AF6A44" w:rsidP="00F51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F51CD0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3</w:t>
            </w:r>
            <w:r w:rsidRPr="00F51CD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F51CD0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(</w:t>
            </w:r>
            <w:r w:rsidRPr="00F51CD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9.</w:t>
            </w:r>
            <w:r w:rsidR="00F51CD0" w:rsidRPr="00F51CD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7</w:t>
            </w:r>
            <w:r w:rsidRPr="00F51CD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GDP</w:t>
            </w:r>
          </w:p>
        </w:tc>
        <w:tc>
          <w:tcPr>
            <w:tcW w:w="2186" w:type="dxa"/>
          </w:tcPr>
          <w:p w:rsidR="00AF6A44" w:rsidRPr="00F51CD0" w:rsidRDefault="00AF6A44" w:rsidP="00F51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F51CD0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1</w:t>
            </w:r>
            <w:r w:rsidRPr="00F51CD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F51CD0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(</w:t>
            </w:r>
            <w:r w:rsidRPr="00F51CD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3.</w:t>
            </w:r>
            <w:r w:rsidR="00F51CD0" w:rsidRPr="00F51CD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2</w:t>
            </w:r>
            <w:r w:rsidRPr="00F51CD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Hyper-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CVAD</w:t>
            </w:r>
          </w:p>
        </w:tc>
        <w:tc>
          <w:tcPr>
            <w:tcW w:w="2186" w:type="dxa"/>
          </w:tcPr>
          <w:p w:rsidR="00AF6A44" w:rsidRPr="00F51CD0" w:rsidRDefault="00AF6A44" w:rsidP="00F51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F51CD0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3</w:t>
            </w:r>
            <w:r w:rsidRPr="00F51CD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F51CD0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(</w:t>
            </w:r>
            <w:r w:rsidRPr="00F51CD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9.</w:t>
            </w:r>
            <w:r w:rsidR="00F51CD0" w:rsidRPr="00F51CD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7</w:t>
            </w:r>
            <w:r w:rsidRPr="00F51CD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RCHOP</w:t>
            </w:r>
          </w:p>
        </w:tc>
        <w:tc>
          <w:tcPr>
            <w:tcW w:w="2186" w:type="dxa"/>
          </w:tcPr>
          <w:p w:rsidR="00AF6A44" w:rsidRPr="00F51CD0" w:rsidRDefault="00AF6A44" w:rsidP="00F51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F51CD0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11</w:t>
            </w:r>
            <w:r w:rsidRPr="00F51CD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F51CD0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(</w:t>
            </w:r>
            <w:r w:rsidRPr="00F51CD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3</w:t>
            </w:r>
            <w:r w:rsidR="00F51CD0" w:rsidRPr="00F51CD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5</w:t>
            </w:r>
            <w:r w:rsidRPr="00F51CD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.4%)</w:t>
            </w:r>
          </w:p>
        </w:tc>
        <w:bookmarkStart w:id="0" w:name="_GoBack"/>
        <w:bookmarkEnd w:id="0"/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32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Response</w:t>
            </w:r>
          </w:p>
        </w:tc>
        <w:tc>
          <w:tcPr>
            <w:tcW w:w="2186" w:type="dxa"/>
          </w:tcPr>
          <w:p w:rsidR="00AF6A44" w:rsidRPr="00823216" w:rsidRDefault="00C6074B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2321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CR</w:t>
            </w:r>
          </w:p>
        </w:tc>
        <w:tc>
          <w:tcPr>
            <w:tcW w:w="2186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 w:firstLineChars="300" w:firstLine="6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(7.8%)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2321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2186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(26.56%)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2321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PD</w:t>
            </w:r>
          </w:p>
        </w:tc>
        <w:tc>
          <w:tcPr>
            <w:tcW w:w="2186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(14.1%)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32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Cytoplasmic C-MYC</w:t>
            </w:r>
          </w:p>
        </w:tc>
        <w:tc>
          <w:tcPr>
            <w:tcW w:w="2186" w:type="dxa"/>
          </w:tcPr>
          <w:p w:rsidR="00AF6A44" w:rsidRPr="00823216" w:rsidRDefault="00C6074B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2321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186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(29.7%)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2321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2186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(39.1%)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2321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++</w:t>
            </w:r>
          </w:p>
        </w:tc>
        <w:tc>
          <w:tcPr>
            <w:tcW w:w="2186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(31.2%)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32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Nuclear C- MYC </w:t>
            </w:r>
            <w:r w:rsidR="007111DD" w:rsidRPr="00BD7E27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(%)</w:t>
            </w:r>
          </w:p>
        </w:tc>
        <w:tc>
          <w:tcPr>
            <w:tcW w:w="2186" w:type="dxa"/>
          </w:tcPr>
          <w:p w:rsidR="00AF6A44" w:rsidRPr="00823216" w:rsidRDefault="00AF6A44" w:rsidP="007111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14</w:t>
            </w:r>
            <w:r w:rsidRPr="0082321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gramStart"/>
            <w:r w:rsidRPr="008232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P53</w:t>
            </w:r>
            <w:r w:rsidR="007111DD" w:rsidRPr="00BD7E27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(</w:t>
            </w:r>
            <w:proofErr w:type="gramEnd"/>
            <w:r w:rsidR="007111DD" w:rsidRPr="00BD7E27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%)</w:t>
            </w:r>
          </w:p>
        </w:tc>
        <w:tc>
          <w:tcPr>
            <w:tcW w:w="2186" w:type="dxa"/>
          </w:tcPr>
          <w:p w:rsidR="00AF6A44" w:rsidRPr="00823216" w:rsidRDefault="00AF6A44" w:rsidP="007111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19</w:t>
            </w:r>
            <w:r w:rsidRPr="0082321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32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CD8+TIL</w:t>
            </w:r>
          </w:p>
        </w:tc>
        <w:tc>
          <w:tcPr>
            <w:tcW w:w="2186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134.26</w:t>
            </w:r>
            <w:r w:rsidRPr="0082321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55.75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232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lastRenderedPageBreak/>
              <w:t>PD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  <w:r w:rsidRPr="008232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L1</w:t>
            </w:r>
          </w:p>
        </w:tc>
        <w:tc>
          <w:tcPr>
            <w:tcW w:w="2186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2321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186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(23.4%)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2321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2186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(43.8%)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2321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++</w:t>
            </w:r>
          </w:p>
        </w:tc>
        <w:tc>
          <w:tcPr>
            <w:tcW w:w="2186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(6.3%)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21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+++</w:t>
            </w:r>
          </w:p>
        </w:tc>
        <w:tc>
          <w:tcPr>
            <w:tcW w:w="2186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(1.5%)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gramStart"/>
            <w:r w:rsidRPr="008232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SOX11</w:t>
            </w:r>
            <w:r w:rsidR="007111DD" w:rsidRPr="00BD7E27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(</w:t>
            </w:r>
            <w:proofErr w:type="gramEnd"/>
            <w:r w:rsidR="007111DD" w:rsidRPr="00BD7E27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%)</w:t>
            </w:r>
          </w:p>
        </w:tc>
        <w:tc>
          <w:tcPr>
            <w:tcW w:w="2186" w:type="dxa"/>
          </w:tcPr>
          <w:p w:rsidR="00AF6A44" w:rsidRPr="00823216" w:rsidRDefault="00AF6A44" w:rsidP="007111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Pr="0082321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AF6A44" w:rsidRPr="008E3ADC" w:rsidTr="00DC3EA6">
        <w:trPr>
          <w:jc w:val="center"/>
        </w:trPr>
        <w:tc>
          <w:tcPr>
            <w:tcW w:w="2675" w:type="dxa"/>
          </w:tcPr>
          <w:p w:rsidR="00AF6A44" w:rsidRPr="00823216" w:rsidRDefault="00AF6A44" w:rsidP="00DC3E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gramStart"/>
            <w:r w:rsidRPr="008232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Ki67</w:t>
            </w:r>
            <w:r w:rsidR="007111DD" w:rsidRPr="00BD7E27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(</w:t>
            </w:r>
            <w:proofErr w:type="gramEnd"/>
            <w:r w:rsidR="007111DD" w:rsidRPr="00BD7E27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%)</w:t>
            </w:r>
          </w:p>
        </w:tc>
        <w:tc>
          <w:tcPr>
            <w:tcW w:w="2186" w:type="dxa"/>
          </w:tcPr>
          <w:p w:rsidR="00AF6A44" w:rsidRPr="00823216" w:rsidRDefault="00AF6A44" w:rsidP="007111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42</w:t>
            </w:r>
            <w:r w:rsidRPr="0082321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</w:tr>
    </w:tbl>
    <w:p w:rsidR="00A65BED" w:rsidRDefault="00A65BED"/>
    <w:sectPr w:rsidR="00A65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44"/>
    <w:rsid w:val="007111DD"/>
    <w:rsid w:val="00A65BED"/>
    <w:rsid w:val="00AF6A44"/>
    <w:rsid w:val="00B341D4"/>
    <w:rsid w:val="00C6074B"/>
    <w:rsid w:val="00F5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AEB68-FCF0-426A-9D48-BEDCB610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Shading Accent 6"/>
    <w:basedOn w:val="a1"/>
    <w:uiPriority w:val="60"/>
    <w:rsid w:val="00AF6A4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gycr</dc:creator>
  <cp:keywords/>
  <dc:description/>
  <cp:lastModifiedBy>gycr</cp:lastModifiedBy>
  <cp:revision>5</cp:revision>
  <dcterms:created xsi:type="dcterms:W3CDTF">2017-04-02T13:27:00Z</dcterms:created>
  <dcterms:modified xsi:type="dcterms:W3CDTF">2017-05-06T14:44:00Z</dcterms:modified>
</cp:coreProperties>
</file>