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E0" w:rsidRDefault="006E47E0" w:rsidP="006E47E0">
      <w:pPr>
        <w:spacing w:after="0"/>
        <w:jc w:val="center"/>
        <w:rPr>
          <w:b/>
        </w:rPr>
      </w:pPr>
      <w:r w:rsidRPr="006E47E0">
        <w:rPr>
          <w:b/>
        </w:rPr>
        <w:t>Complete Numeric Data</w:t>
      </w:r>
    </w:p>
    <w:p w:rsidR="006E47E0" w:rsidRDefault="006E47E0" w:rsidP="006E47E0">
      <w:pPr>
        <w:spacing w:after="0"/>
        <w:jc w:val="center"/>
        <w:rPr>
          <w:b/>
        </w:rPr>
      </w:pPr>
    </w:p>
    <w:p w:rsidR="006E47E0" w:rsidRDefault="006E47E0" w:rsidP="006E47E0">
      <w:pPr>
        <w:spacing w:after="0"/>
      </w:pPr>
      <w:r>
        <w:t>As described in the “Methods”, STI notifications data were derived from the</w:t>
      </w:r>
      <w:r w:rsidRPr="006E47E0">
        <w:t xml:space="preserve"> </w:t>
      </w:r>
      <w:r w:rsidRPr="002C4806">
        <w:t>Northern Territory Sexual Health and Blood Borne Viruses Unit Surveillance Update</w:t>
      </w:r>
      <w:r>
        <w:t xml:space="preserve">s, Volume 13, parts 1 and 2: </w:t>
      </w:r>
      <w:hyperlink r:id="rId5" w:history="1">
        <w:r w:rsidRPr="00615A32">
          <w:rPr>
            <w:rStyle w:val="Hyperlink"/>
          </w:rPr>
          <w:t>http://digitallibrary.health.nt.gov.au/prodjspui/bitstream/10137/237/101/Surveillance%20Update%20Vol%2013%20no%201%20January-March%20%26%20April-June%202012%20.pdf</w:t>
        </w:r>
      </w:hyperlink>
    </w:p>
    <w:p w:rsidR="006E47E0" w:rsidRDefault="004C4DD4" w:rsidP="006E47E0">
      <w:pPr>
        <w:spacing w:after="0"/>
      </w:pPr>
      <w:hyperlink r:id="rId6" w:history="1">
        <w:r w:rsidR="006E47E0" w:rsidRPr="00615A32">
          <w:rPr>
            <w:rStyle w:val="Hyperlink"/>
          </w:rPr>
          <w:t>http://digitallibrary.health.nt.gov.au/prodjspui/bitstream/10137/237/102/Surveillance%20Update%20Vol%2013%20no%202%20July-September%20%20%26%20October-December%202012.pdf</w:t>
        </w:r>
      </w:hyperlink>
    </w:p>
    <w:p w:rsidR="006E47E0" w:rsidRDefault="006E47E0" w:rsidP="006E47E0">
      <w:pPr>
        <w:spacing w:after="0"/>
      </w:pPr>
    </w:p>
    <w:p w:rsidR="00EE33B9" w:rsidRDefault="006E47E0" w:rsidP="006E47E0">
      <w:pPr>
        <w:pStyle w:val="EndNoteBibliography"/>
        <w:spacing w:after="0"/>
      </w:pPr>
      <w:r>
        <w:t>The swabs data were derved from Table 1 of “</w:t>
      </w:r>
      <w:r w:rsidRPr="002C4806">
        <w:t>Andersson</w:t>
      </w:r>
      <w:r w:rsidR="00D60E2F">
        <w:t xml:space="preserve"> et al, </w:t>
      </w:r>
      <w:r w:rsidRPr="002C4806">
        <w:t>, Journal of the Pediatric Infectious Diseases Society 2014;</w:t>
      </w:r>
      <w:r w:rsidRPr="002C4806">
        <w:rPr>
          <w:b/>
        </w:rPr>
        <w:t>3</w:t>
      </w:r>
      <w:r w:rsidRPr="002C4806">
        <w:t>(3):189-96.</w:t>
      </w:r>
      <w:r>
        <w:t xml:space="preserve">”. </w:t>
      </w:r>
      <w:r w:rsidR="00D60E2F">
        <w:t>As described in the “Methods”, normalisa</w:t>
      </w:r>
      <w:r w:rsidR="00EE33B9">
        <w:t>tion was performed to correct for instances wwhere fewer than the default number of 140 tests were performed for each STI agent/clinic combination. The modified version of the table is shown below with the normalised figures adde</w:t>
      </w:r>
      <w:r w:rsidR="004C4DD4">
        <w:t>d. For the two instances where 1</w:t>
      </w:r>
      <w:r w:rsidR="00EE33B9">
        <w:t>39 rather than 140 tests were performed</w:t>
      </w:r>
      <w:r w:rsidR="004C4DD4">
        <w:t xml:space="preserve"> (remote Indigenous clinic D)</w:t>
      </w:r>
      <w:r w:rsidR="00EE33B9">
        <w:t>, no normalised figures are shown because the change was too small to affect subsequent calculations</w:t>
      </w:r>
      <w:r w:rsidR="004C4DD4">
        <w:t xml:space="preserve">, given the number of significant figures used. </w:t>
      </w:r>
      <w:r w:rsidR="00EE33B9">
        <w:t xml:space="preserve"> </w:t>
      </w:r>
    </w:p>
    <w:p w:rsidR="00EE33B9" w:rsidRDefault="00EE33B9" w:rsidP="006E47E0">
      <w:pPr>
        <w:pStyle w:val="EndNoteBibliography"/>
        <w:spacing w:after="0"/>
      </w:pPr>
    </w:p>
    <w:p w:rsidR="00EE33B9" w:rsidRPr="002C4806" w:rsidRDefault="00EE33B9" w:rsidP="006E47E0">
      <w:pPr>
        <w:pStyle w:val="EndNoteBibliography"/>
        <w:spacing w:after="0"/>
      </w:pPr>
      <w: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095"/>
        <w:gridCol w:w="1095"/>
        <w:gridCol w:w="874"/>
        <w:gridCol w:w="829"/>
        <w:gridCol w:w="730"/>
        <w:gridCol w:w="709"/>
        <w:gridCol w:w="709"/>
        <w:gridCol w:w="716"/>
        <w:gridCol w:w="701"/>
        <w:gridCol w:w="709"/>
      </w:tblGrid>
      <w:tr w:rsidR="00EE33B9" w:rsidRPr="00EC24B6" w:rsidTr="00D5701F">
        <w:trPr>
          <w:trHeight w:val="340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tabs>
                <w:tab w:val="left" w:pos="72"/>
                <w:tab w:val="left" w:pos="447"/>
              </w:tabs>
              <w:spacing w:after="0" w:line="240" w:lineRule="auto"/>
              <w:ind w:right="-21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>SARC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>Sex. Health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>Regional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32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>Remote Indigenous</w:t>
            </w:r>
          </w:p>
        </w:tc>
      </w:tr>
      <w:tr w:rsidR="00EE33B9" w:rsidRPr="00EC24B6" w:rsidTr="00D5701F">
        <w:trPr>
          <w:trHeight w:val="340"/>
        </w:trPr>
        <w:tc>
          <w:tcPr>
            <w:tcW w:w="129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A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B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 A</w:t>
            </w:r>
          </w:p>
        </w:tc>
        <w:tc>
          <w:tcPr>
            <w:tcW w:w="82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B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A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B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A</w:t>
            </w:r>
          </w:p>
        </w:tc>
        <w:tc>
          <w:tcPr>
            <w:tcW w:w="716" w:type="dxa"/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B</w:t>
            </w:r>
          </w:p>
        </w:tc>
        <w:tc>
          <w:tcPr>
            <w:tcW w:w="701" w:type="dxa"/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C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273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D</w:t>
            </w:r>
          </w:p>
        </w:tc>
      </w:tr>
      <w:tr w:rsidR="00EE33B9" w:rsidRPr="00EC24B6" w:rsidTr="00D5701F">
        <w:trPr>
          <w:trHeight w:val="737"/>
        </w:trPr>
        <w:tc>
          <w:tcPr>
            <w:tcW w:w="12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en-AU"/>
              </w:rPr>
              <w:t>C. trachomatis</w:t>
            </w: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139)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82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0.7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(1 / 140)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5.0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(7 / 140)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3.6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(5 / 140)</w:t>
            </w:r>
          </w:p>
        </w:tc>
        <w:tc>
          <w:tcPr>
            <w:tcW w:w="716" w:type="dxa"/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6.4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(9 / 140)</w:t>
            </w:r>
          </w:p>
        </w:tc>
        <w:tc>
          <w:tcPr>
            <w:tcW w:w="701" w:type="dxa"/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7.1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(10 / 140)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9.4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(13 / 139)</w:t>
            </w:r>
          </w:p>
        </w:tc>
      </w:tr>
      <w:tr w:rsidR="00EE33B9" w:rsidRPr="00EC24B6" w:rsidTr="00D5701F">
        <w:trPr>
          <w:trHeight w:val="737"/>
        </w:trPr>
        <w:tc>
          <w:tcPr>
            <w:tcW w:w="12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en-AU"/>
              </w:rPr>
              <w:t>N. gonorrhoeae</w:t>
            </w: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6.4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(9 / 140)</w:t>
            </w:r>
          </w:p>
        </w:tc>
        <w:tc>
          <w:tcPr>
            <w:tcW w:w="82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5.0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(7 / 140)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716" w:type="dxa"/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2.1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(3 / 140)</w:t>
            </w:r>
          </w:p>
        </w:tc>
        <w:tc>
          <w:tcPr>
            <w:tcW w:w="701" w:type="dxa"/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25.0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(35 / 140)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36.7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(51 / 139)</w:t>
            </w:r>
          </w:p>
        </w:tc>
      </w:tr>
      <w:tr w:rsidR="00EE33B9" w:rsidRPr="00EC24B6" w:rsidTr="00D5701F">
        <w:trPr>
          <w:trHeight w:val="737"/>
        </w:trPr>
        <w:tc>
          <w:tcPr>
            <w:tcW w:w="12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en-AU"/>
              </w:rPr>
              <w:t>T. vaginalis</w:t>
            </w: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874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0.7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(1 / 140)</w:t>
            </w:r>
          </w:p>
        </w:tc>
        <w:tc>
          <w:tcPr>
            <w:tcW w:w="82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0.7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(1 / 140)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7.1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(10 / 140)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14.3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(20 / 140)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26.1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(31 / 119)</w:t>
            </w:r>
          </w:p>
        </w:tc>
        <w:tc>
          <w:tcPr>
            <w:tcW w:w="716" w:type="dxa"/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44.2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(53 / 120)</w:t>
            </w:r>
          </w:p>
        </w:tc>
        <w:tc>
          <w:tcPr>
            <w:tcW w:w="701" w:type="dxa"/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37.9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(53 / 140)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32.1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(45 / 140)</w:t>
            </w:r>
          </w:p>
        </w:tc>
      </w:tr>
      <w:tr w:rsidR="00EE33B9" w:rsidRPr="00EC24B6" w:rsidTr="00D5701F">
        <w:trPr>
          <w:trHeight w:val="737"/>
        </w:trPr>
        <w:tc>
          <w:tcPr>
            <w:tcW w:w="12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E33B9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en-AU"/>
              </w:rPr>
            </w:pPr>
            <w:r w:rsidRPr="00EE33B9"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en-AU"/>
              </w:rPr>
              <w:t>T. vaginalis</w:t>
            </w:r>
          </w:p>
          <w:p w:rsidR="00EE33B9" w:rsidRPr="00EC24B6" w:rsidRDefault="00EE33B9" w:rsidP="00EE33B9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Normalised 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>36/140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>62/140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</w:p>
        </w:tc>
      </w:tr>
      <w:tr w:rsidR="00EE33B9" w:rsidRPr="00EC24B6" w:rsidTr="00D5701F">
        <w:trPr>
          <w:trHeight w:val="737"/>
        </w:trPr>
        <w:tc>
          <w:tcPr>
            <w:tcW w:w="12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>Positive swabs</w:t>
            </w:r>
          </w:p>
          <w:p w:rsidR="00EE33B9" w:rsidRPr="00EC24B6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(any STI agent)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0</w:t>
            </w:r>
          </w:p>
          <w:p w:rsidR="00EE33B9" w:rsidRPr="00EC24B6" w:rsidRDefault="00EE33B9" w:rsidP="00D5701F">
            <w:pPr>
              <w:spacing w:after="0"/>
              <w:ind w:right="-15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 0</w:t>
            </w:r>
          </w:p>
          <w:p w:rsidR="00EE33B9" w:rsidRPr="00EC24B6" w:rsidRDefault="00EE33B9" w:rsidP="00D5701F">
            <w:pPr>
              <w:spacing w:after="0"/>
              <w:ind w:right="-15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140)</w:t>
            </w: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7.1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(10 / 140)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6.4</w:t>
            </w:r>
          </w:p>
          <w:p w:rsidR="00EE33B9" w:rsidRPr="00EC24B6" w:rsidRDefault="00EE33B9" w:rsidP="00D5701F">
            <w:pPr>
              <w:spacing w:after="0"/>
              <w:ind w:right="-3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(9 / 140)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 10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(14 / 140)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14.3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(20 / 140)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24.3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(34 / 140)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40.7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(57 / 140)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50.7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(71 / 140)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    57.1</w:t>
            </w:r>
          </w:p>
          <w:p w:rsidR="00EE33B9" w:rsidRPr="00EC24B6" w:rsidRDefault="00EE33B9" w:rsidP="00D5701F">
            <w:pPr>
              <w:spacing w:after="0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(80 / 140)</w:t>
            </w:r>
          </w:p>
        </w:tc>
      </w:tr>
      <w:tr w:rsidR="00EE33B9" w:rsidRPr="00EC24B6" w:rsidTr="00D5701F">
        <w:trPr>
          <w:trHeight w:val="737"/>
        </w:trPr>
        <w:tc>
          <w:tcPr>
            <w:tcW w:w="12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>Clinic category</w:t>
            </w:r>
          </w:p>
          <w:p w:rsidR="00EE33B9" w:rsidRPr="00EC24B6" w:rsidRDefault="00EE33B9" w:rsidP="00D5701F">
            <w:pPr>
              <w:spacing w:after="0" w:line="240" w:lineRule="auto"/>
              <w:ind w:right="-514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>total</w:t>
            </w:r>
          </w:p>
        </w:tc>
        <w:tc>
          <w:tcPr>
            <w:tcW w:w="21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15"/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0  </w:t>
            </w: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(0 / 839)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ind w:right="-3"/>
              <w:jc w:val="center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2.3 </w:t>
            </w: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 xml:space="preserve"> (19 / 840)</w:t>
            </w:r>
          </w:p>
        </w:tc>
        <w:tc>
          <w:tcPr>
            <w:tcW w:w="14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4.4  </w:t>
            </w: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(37 / 840)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3B9" w:rsidRPr="00EC24B6" w:rsidRDefault="00EE33B9" w:rsidP="00D570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20"/>
                <w:lang w:eastAsia="en-AU"/>
              </w:rPr>
            </w:pPr>
            <w:r w:rsidRPr="00EC24B6">
              <w:rPr>
                <w:rFonts w:ascii="Arial" w:eastAsia="Times New Roman" w:hAnsi="Arial" w:cs="Arial"/>
                <w:b/>
                <w:sz w:val="14"/>
                <w:szCs w:val="20"/>
                <w:lang w:eastAsia="en-AU"/>
              </w:rPr>
              <w:t xml:space="preserve">18.8  </w:t>
            </w:r>
            <w:r w:rsidRPr="00EC24B6">
              <w:rPr>
                <w:rFonts w:ascii="Arial" w:eastAsia="Times New Roman" w:hAnsi="Arial" w:cs="Arial"/>
                <w:sz w:val="14"/>
                <w:szCs w:val="20"/>
                <w:lang w:eastAsia="en-AU"/>
              </w:rPr>
              <w:t>(308 / 1637)</w:t>
            </w:r>
          </w:p>
        </w:tc>
      </w:tr>
    </w:tbl>
    <w:p w:rsidR="00D60E2F" w:rsidRPr="002C4806" w:rsidRDefault="00D60E2F" w:rsidP="006E47E0">
      <w:pPr>
        <w:pStyle w:val="EndNoteBibliography"/>
        <w:spacing w:after="0"/>
      </w:pPr>
    </w:p>
    <w:p w:rsidR="006E47E0" w:rsidRDefault="006E47E0" w:rsidP="006E47E0">
      <w:pPr>
        <w:spacing w:after="0"/>
      </w:pPr>
    </w:p>
    <w:p w:rsidR="006E47E0" w:rsidRDefault="00B27821" w:rsidP="006E47E0">
      <w:pPr>
        <w:spacing w:after="0"/>
        <w:rPr>
          <w:b/>
        </w:rPr>
      </w:pPr>
      <w:proofErr w:type="gramStart"/>
      <w:r>
        <w:rPr>
          <w:b/>
        </w:rPr>
        <w:t>“Remote” notifications and swabs.</w:t>
      </w:r>
      <w:proofErr w:type="gramEnd"/>
      <w:r>
        <w:rPr>
          <w:b/>
        </w:rPr>
        <w:t xml:space="preserve"> </w:t>
      </w:r>
      <w:r w:rsidR="004C4DD4">
        <w:rPr>
          <w:b/>
        </w:rPr>
        <w:t xml:space="preserve">The “%” figures are the contribution that each cell makes to the total for that column. </w:t>
      </w:r>
      <w:bookmarkStart w:id="0" w:name="_GoBack"/>
      <w:bookmarkEnd w:id="0"/>
    </w:p>
    <w:p w:rsidR="00EE33B9" w:rsidRDefault="00EE33B9" w:rsidP="006E47E0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E33B9" w:rsidTr="00D5701F">
        <w:tc>
          <w:tcPr>
            <w:tcW w:w="1848" w:type="dxa"/>
          </w:tcPr>
          <w:p w:rsidR="00EE33B9" w:rsidRDefault="00EE33B9" w:rsidP="00D5701F"/>
        </w:tc>
        <w:tc>
          <w:tcPr>
            <w:tcW w:w="7394" w:type="dxa"/>
            <w:gridSpan w:val="4"/>
          </w:tcPr>
          <w:p w:rsidR="00EE33B9" w:rsidRDefault="00EE33B9" w:rsidP="00EE33B9">
            <w:pPr>
              <w:jc w:val="center"/>
            </w:pPr>
            <w:r>
              <w:t>Remote</w:t>
            </w:r>
          </w:p>
        </w:tc>
      </w:tr>
      <w:tr w:rsidR="00EE33B9" w:rsidTr="00D5701F">
        <w:tc>
          <w:tcPr>
            <w:tcW w:w="1848" w:type="dxa"/>
          </w:tcPr>
          <w:p w:rsidR="00EE33B9" w:rsidRDefault="00EE33B9" w:rsidP="00D5701F"/>
        </w:tc>
        <w:tc>
          <w:tcPr>
            <w:tcW w:w="3696" w:type="dxa"/>
            <w:gridSpan w:val="2"/>
          </w:tcPr>
          <w:p w:rsidR="00EE33B9" w:rsidRDefault="00EE33B9" w:rsidP="00D5701F">
            <w:pPr>
              <w:jc w:val="center"/>
            </w:pPr>
            <w:r>
              <w:t>East Arnhem</w:t>
            </w:r>
          </w:p>
        </w:tc>
        <w:tc>
          <w:tcPr>
            <w:tcW w:w="3698" w:type="dxa"/>
            <w:gridSpan w:val="2"/>
          </w:tcPr>
          <w:p w:rsidR="00EE33B9" w:rsidRDefault="00EE33B9" w:rsidP="00EE33B9">
            <w:pPr>
              <w:jc w:val="center"/>
            </w:pPr>
            <w:r>
              <w:t xml:space="preserve">Central Australia </w:t>
            </w:r>
          </w:p>
        </w:tc>
      </w:tr>
      <w:tr w:rsidR="00EE33B9" w:rsidTr="00D5701F">
        <w:tc>
          <w:tcPr>
            <w:tcW w:w="1848" w:type="dxa"/>
          </w:tcPr>
          <w:p w:rsidR="00EE33B9" w:rsidRDefault="00EE33B9" w:rsidP="00D5701F"/>
        </w:tc>
        <w:tc>
          <w:tcPr>
            <w:tcW w:w="1848" w:type="dxa"/>
          </w:tcPr>
          <w:p w:rsidR="00EE33B9" w:rsidRDefault="00F44964" w:rsidP="00F44964">
            <w:r>
              <w:t>Notifications (%)</w:t>
            </w:r>
          </w:p>
        </w:tc>
        <w:tc>
          <w:tcPr>
            <w:tcW w:w="1848" w:type="dxa"/>
          </w:tcPr>
          <w:p w:rsidR="00EE33B9" w:rsidRDefault="00F44964" w:rsidP="00D5701F">
            <w:r>
              <w:t>Swabs (%)</w:t>
            </w:r>
          </w:p>
        </w:tc>
        <w:tc>
          <w:tcPr>
            <w:tcW w:w="1849" w:type="dxa"/>
          </w:tcPr>
          <w:p w:rsidR="00EE33B9" w:rsidRDefault="00F44964" w:rsidP="00F44964">
            <w:r>
              <w:t>Notifications (%)</w:t>
            </w:r>
          </w:p>
        </w:tc>
        <w:tc>
          <w:tcPr>
            <w:tcW w:w="1849" w:type="dxa"/>
          </w:tcPr>
          <w:p w:rsidR="00EE33B9" w:rsidRDefault="00F44964" w:rsidP="00D5701F">
            <w:r>
              <w:t>Swab (%)</w:t>
            </w:r>
          </w:p>
        </w:tc>
      </w:tr>
      <w:tr w:rsidR="00EE33B9" w:rsidTr="00D5701F">
        <w:tc>
          <w:tcPr>
            <w:tcW w:w="1848" w:type="dxa"/>
          </w:tcPr>
          <w:p w:rsidR="00EE33B9" w:rsidRPr="00292087" w:rsidRDefault="00EE33B9" w:rsidP="00D5701F">
            <w:pPr>
              <w:rPr>
                <w:i/>
              </w:rPr>
            </w:pPr>
            <w:r w:rsidRPr="00292087">
              <w:rPr>
                <w:i/>
              </w:rPr>
              <w:t>C. trachomatis</w:t>
            </w:r>
          </w:p>
        </w:tc>
        <w:tc>
          <w:tcPr>
            <w:tcW w:w="1848" w:type="dxa"/>
          </w:tcPr>
          <w:p w:rsidR="00EE33B9" w:rsidRDefault="00F44964" w:rsidP="00F44964">
            <w:r>
              <w:t>193 (25.1)</w:t>
            </w:r>
            <w:r w:rsidR="00EE33B9">
              <w:t xml:space="preserve"> </w:t>
            </w:r>
          </w:p>
        </w:tc>
        <w:tc>
          <w:tcPr>
            <w:tcW w:w="1848" w:type="dxa"/>
          </w:tcPr>
          <w:p w:rsidR="00EE33B9" w:rsidRDefault="00F44964" w:rsidP="00D5701F">
            <w:r>
              <w:t>14 (12.2)</w:t>
            </w:r>
          </w:p>
        </w:tc>
        <w:tc>
          <w:tcPr>
            <w:tcW w:w="1849" w:type="dxa"/>
          </w:tcPr>
          <w:p w:rsidR="00EE33B9" w:rsidRDefault="00F44964" w:rsidP="00F44964">
            <w:r>
              <w:t>377 (29.0)</w:t>
            </w:r>
          </w:p>
        </w:tc>
        <w:tc>
          <w:tcPr>
            <w:tcW w:w="1849" w:type="dxa"/>
          </w:tcPr>
          <w:p w:rsidR="00EE33B9" w:rsidRDefault="00F44964" w:rsidP="00D5701F">
            <w:r>
              <w:t>23 (10.8)</w:t>
            </w:r>
          </w:p>
        </w:tc>
      </w:tr>
      <w:tr w:rsidR="00EE33B9" w:rsidTr="00D5701F">
        <w:tc>
          <w:tcPr>
            <w:tcW w:w="1848" w:type="dxa"/>
          </w:tcPr>
          <w:p w:rsidR="00EE33B9" w:rsidRPr="00292087" w:rsidRDefault="00EE33B9" w:rsidP="00D5701F">
            <w:pPr>
              <w:rPr>
                <w:i/>
              </w:rPr>
            </w:pPr>
            <w:r w:rsidRPr="00292087">
              <w:rPr>
                <w:i/>
              </w:rPr>
              <w:t>N. gono</w:t>
            </w:r>
            <w:r>
              <w:rPr>
                <w:i/>
              </w:rPr>
              <w:t>rrhoeae</w:t>
            </w:r>
          </w:p>
        </w:tc>
        <w:tc>
          <w:tcPr>
            <w:tcW w:w="1848" w:type="dxa"/>
          </w:tcPr>
          <w:p w:rsidR="00EE33B9" w:rsidRDefault="00F44964" w:rsidP="00F44964">
            <w:r>
              <w:t>80 (10.4)</w:t>
            </w:r>
          </w:p>
        </w:tc>
        <w:tc>
          <w:tcPr>
            <w:tcW w:w="1848" w:type="dxa"/>
          </w:tcPr>
          <w:p w:rsidR="00EE33B9" w:rsidRDefault="00F44964" w:rsidP="00D5701F">
            <w:r>
              <w:t>3 (2.6)</w:t>
            </w:r>
          </w:p>
        </w:tc>
        <w:tc>
          <w:tcPr>
            <w:tcW w:w="1849" w:type="dxa"/>
          </w:tcPr>
          <w:p w:rsidR="00EE33B9" w:rsidRDefault="00F44964" w:rsidP="00F44964">
            <w:r>
              <w:t>598 (46.1)</w:t>
            </w:r>
          </w:p>
        </w:tc>
        <w:tc>
          <w:tcPr>
            <w:tcW w:w="1849" w:type="dxa"/>
          </w:tcPr>
          <w:p w:rsidR="00EE33B9" w:rsidRDefault="00F44964" w:rsidP="00D5701F">
            <w:r>
              <w:t>86 (40.4)</w:t>
            </w:r>
          </w:p>
        </w:tc>
      </w:tr>
      <w:tr w:rsidR="00EE33B9" w:rsidTr="00D5701F">
        <w:tc>
          <w:tcPr>
            <w:tcW w:w="1848" w:type="dxa"/>
          </w:tcPr>
          <w:p w:rsidR="00EE33B9" w:rsidRPr="00292087" w:rsidRDefault="00EE33B9" w:rsidP="00D5701F">
            <w:pPr>
              <w:rPr>
                <w:i/>
              </w:rPr>
            </w:pPr>
            <w:r w:rsidRPr="00292087">
              <w:rPr>
                <w:i/>
              </w:rPr>
              <w:t>T. vaginalis</w:t>
            </w:r>
          </w:p>
        </w:tc>
        <w:tc>
          <w:tcPr>
            <w:tcW w:w="1848" w:type="dxa"/>
          </w:tcPr>
          <w:p w:rsidR="00EE33B9" w:rsidRDefault="00F44964" w:rsidP="00D5701F">
            <w:r>
              <w:t>496 (64.5)</w:t>
            </w:r>
          </w:p>
        </w:tc>
        <w:tc>
          <w:tcPr>
            <w:tcW w:w="1848" w:type="dxa"/>
          </w:tcPr>
          <w:p w:rsidR="00EE33B9" w:rsidRDefault="00F44964" w:rsidP="00D5701F">
            <w:r>
              <w:t>98 (85.2)</w:t>
            </w:r>
          </w:p>
        </w:tc>
        <w:tc>
          <w:tcPr>
            <w:tcW w:w="1849" w:type="dxa"/>
          </w:tcPr>
          <w:p w:rsidR="00EE33B9" w:rsidRDefault="00F44964" w:rsidP="00D5701F">
            <w:r>
              <w:t>323 (24.9)</w:t>
            </w:r>
          </w:p>
        </w:tc>
        <w:tc>
          <w:tcPr>
            <w:tcW w:w="1849" w:type="dxa"/>
          </w:tcPr>
          <w:p w:rsidR="00EE33B9" w:rsidRDefault="00F44964" w:rsidP="00D5701F">
            <w:r>
              <w:t>104 (48.8)</w:t>
            </w:r>
          </w:p>
        </w:tc>
      </w:tr>
    </w:tbl>
    <w:p w:rsidR="00EE33B9" w:rsidRDefault="00EE33B9" w:rsidP="006E47E0">
      <w:pPr>
        <w:spacing w:after="0"/>
        <w:rPr>
          <w:b/>
        </w:rPr>
      </w:pPr>
    </w:p>
    <w:p w:rsidR="00F44964" w:rsidRDefault="00F44964" w:rsidP="006E47E0">
      <w:pPr>
        <w:spacing w:after="0"/>
        <w:rPr>
          <w:b/>
        </w:rPr>
      </w:pPr>
    </w:p>
    <w:p w:rsidR="00F44964" w:rsidRDefault="00F44964" w:rsidP="006E47E0">
      <w:pPr>
        <w:spacing w:after="0"/>
        <w:rPr>
          <w:b/>
        </w:rPr>
      </w:pPr>
    </w:p>
    <w:p w:rsidR="00F44964" w:rsidRDefault="00B27821" w:rsidP="006E47E0">
      <w:pPr>
        <w:spacing w:after="0"/>
        <w:rPr>
          <w:b/>
        </w:rPr>
      </w:pPr>
      <w:r>
        <w:rPr>
          <w:b/>
        </w:rPr>
        <w:t>“Regional” notifications and swabs</w:t>
      </w:r>
    </w:p>
    <w:p w:rsidR="00F44964" w:rsidRDefault="00F44964" w:rsidP="006E47E0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44964" w:rsidTr="00D5701F">
        <w:tc>
          <w:tcPr>
            <w:tcW w:w="1848" w:type="dxa"/>
          </w:tcPr>
          <w:p w:rsidR="00F44964" w:rsidRDefault="00F44964" w:rsidP="00D5701F"/>
        </w:tc>
        <w:tc>
          <w:tcPr>
            <w:tcW w:w="7394" w:type="dxa"/>
            <w:gridSpan w:val="4"/>
          </w:tcPr>
          <w:p w:rsidR="00F44964" w:rsidRDefault="00F44964" w:rsidP="00F44964">
            <w:pPr>
              <w:jc w:val="center"/>
            </w:pPr>
            <w:r>
              <w:t xml:space="preserve">Regional </w:t>
            </w:r>
          </w:p>
        </w:tc>
      </w:tr>
      <w:tr w:rsidR="00F44964" w:rsidTr="00D5701F">
        <w:tc>
          <w:tcPr>
            <w:tcW w:w="1848" w:type="dxa"/>
          </w:tcPr>
          <w:p w:rsidR="00F44964" w:rsidRDefault="00F44964" w:rsidP="00D5701F"/>
        </w:tc>
        <w:tc>
          <w:tcPr>
            <w:tcW w:w="3696" w:type="dxa"/>
            <w:gridSpan w:val="2"/>
          </w:tcPr>
          <w:p w:rsidR="00F44964" w:rsidRDefault="00F44964" w:rsidP="00D5701F">
            <w:pPr>
              <w:jc w:val="center"/>
            </w:pPr>
            <w:r>
              <w:t>East Arnhem</w:t>
            </w:r>
          </w:p>
        </w:tc>
        <w:tc>
          <w:tcPr>
            <w:tcW w:w="3698" w:type="dxa"/>
            <w:gridSpan w:val="2"/>
          </w:tcPr>
          <w:p w:rsidR="00F44964" w:rsidRDefault="00F44964" w:rsidP="00D5701F">
            <w:pPr>
              <w:jc w:val="center"/>
            </w:pPr>
            <w:r>
              <w:t>Barkly</w:t>
            </w:r>
          </w:p>
        </w:tc>
      </w:tr>
      <w:tr w:rsidR="00F44964" w:rsidTr="00D5701F">
        <w:tc>
          <w:tcPr>
            <w:tcW w:w="1848" w:type="dxa"/>
          </w:tcPr>
          <w:p w:rsidR="00F44964" w:rsidRDefault="00F44964" w:rsidP="00D5701F"/>
        </w:tc>
        <w:tc>
          <w:tcPr>
            <w:tcW w:w="1848" w:type="dxa"/>
          </w:tcPr>
          <w:p w:rsidR="00F44964" w:rsidRDefault="00F44964" w:rsidP="00F44964">
            <w:r>
              <w:t>Notifications (%)</w:t>
            </w:r>
          </w:p>
        </w:tc>
        <w:tc>
          <w:tcPr>
            <w:tcW w:w="1848" w:type="dxa"/>
          </w:tcPr>
          <w:p w:rsidR="00F44964" w:rsidRDefault="00F44964" w:rsidP="00D5701F">
            <w:r>
              <w:t>Swabs (%)</w:t>
            </w:r>
          </w:p>
        </w:tc>
        <w:tc>
          <w:tcPr>
            <w:tcW w:w="1849" w:type="dxa"/>
          </w:tcPr>
          <w:p w:rsidR="00F44964" w:rsidRDefault="00F44964" w:rsidP="00F44964">
            <w:r>
              <w:t>Notifications (%)</w:t>
            </w:r>
          </w:p>
        </w:tc>
        <w:tc>
          <w:tcPr>
            <w:tcW w:w="1849" w:type="dxa"/>
          </w:tcPr>
          <w:p w:rsidR="00F44964" w:rsidRDefault="00F44964" w:rsidP="00D5701F">
            <w:r>
              <w:t>Swabs (%)</w:t>
            </w:r>
          </w:p>
        </w:tc>
      </w:tr>
      <w:tr w:rsidR="00F44964" w:rsidTr="00D5701F">
        <w:tc>
          <w:tcPr>
            <w:tcW w:w="1848" w:type="dxa"/>
          </w:tcPr>
          <w:p w:rsidR="00F44964" w:rsidRPr="00292087" w:rsidRDefault="00F44964" w:rsidP="00D5701F">
            <w:pPr>
              <w:rPr>
                <w:i/>
              </w:rPr>
            </w:pPr>
            <w:r w:rsidRPr="00292087">
              <w:rPr>
                <w:i/>
              </w:rPr>
              <w:t>C. trachomatis</w:t>
            </w:r>
          </w:p>
        </w:tc>
        <w:tc>
          <w:tcPr>
            <w:tcW w:w="1848" w:type="dxa"/>
          </w:tcPr>
          <w:p w:rsidR="00F44964" w:rsidRDefault="00F44964" w:rsidP="00D5701F">
            <w:r>
              <w:t>193 (25.1)</w:t>
            </w:r>
          </w:p>
        </w:tc>
        <w:tc>
          <w:tcPr>
            <w:tcW w:w="1848" w:type="dxa"/>
          </w:tcPr>
          <w:p w:rsidR="00F44964" w:rsidRDefault="00F44964" w:rsidP="00F44964">
            <w:r>
              <w:t>0 (0)</w:t>
            </w:r>
          </w:p>
        </w:tc>
        <w:tc>
          <w:tcPr>
            <w:tcW w:w="1849" w:type="dxa"/>
          </w:tcPr>
          <w:p w:rsidR="00F44964" w:rsidRDefault="00F44964" w:rsidP="00D5701F">
            <w:r>
              <w:t>79 (30.7)</w:t>
            </w:r>
          </w:p>
        </w:tc>
        <w:tc>
          <w:tcPr>
            <w:tcW w:w="1849" w:type="dxa"/>
          </w:tcPr>
          <w:p w:rsidR="00F44964" w:rsidRDefault="00F44964" w:rsidP="00D5701F">
            <w:r>
              <w:t>7 (41.2)</w:t>
            </w:r>
          </w:p>
        </w:tc>
      </w:tr>
      <w:tr w:rsidR="00F44964" w:rsidTr="00D5701F">
        <w:tc>
          <w:tcPr>
            <w:tcW w:w="1848" w:type="dxa"/>
          </w:tcPr>
          <w:p w:rsidR="00F44964" w:rsidRPr="00292087" w:rsidRDefault="006D42D3" w:rsidP="006D42D3">
            <w:pPr>
              <w:rPr>
                <w:i/>
              </w:rPr>
            </w:pPr>
            <w:r w:rsidRPr="00292087">
              <w:rPr>
                <w:i/>
              </w:rPr>
              <w:t>N. gono</w:t>
            </w:r>
            <w:r>
              <w:rPr>
                <w:i/>
              </w:rPr>
              <w:t>rrhoeae</w:t>
            </w:r>
            <w:r w:rsidRPr="00292087">
              <w:rPr>
                <w:i/>
              </w:rPr>
              <w:t xml:space="preserve"> </w:t>
            </w:r>
          </w:p>
        </w:tc>
        <w:tc>
          <w:tcPr>
            <w:tcW w:w="1848" w:type="dxa"/>
          </w:tcPr>
          <w:p w:rsidR="00F44964" w:rsidRDefault="00F44964" w:rsidP="00D5701F">
            <w:r>
              <w:t>80 (10.4)</w:t>
            </w:r>
          </w:p>
        </w:tc>
        <w:tc>
          <w:tcPr>
            <w:tcW w:w="1848" w:type="dxa"/>
          </w:tcPr>
          <w:p w:rsidR="00F44964" w:rsidRDefault="00F44964" w:rsidP="00D5701F">
            <w:r>
              <w:t>0 (0)</w:t>
            </w:r>
          </w:p>
        </w:tc>
        <w:tc>
          <w:tcPr>
            <w:tcW w:w="1849" w:type="dxa"/>
          </w:tcPr>
          <w:p w:rsidR="00F44964" w:rsidRDefault="00F44964" w:rsidP="00D5701F">
            <w:r>
              <w:t>64 (24.9)</w:t>
            </w:r>
          </w:p>
        </w:tc>
        <w:tc>
          <w:tcPr>
            <w:tcW w:w="1849" w:type="dxa"/>
          </w:tcPr>
          <w:p w:rsidR="00F44964" w:rsidRDefault="00F44964" w:rsidP="00D5701F">
            <w:r>
              <w:t>0 (0)</w:t>
            </w:r>
          </w:p>
        </w:tc>
      </w:tr>
      <w:tr w:rsidR="00F44964" w:rsidTr="00D5701F">
        <w:tc>
          <w:tcPr>
            <w:tcW w:w="1848" w:type="dxa"/>
          </w:tcPr>
          <w:p w:rsidR="00F44964" w:rsidRPr="00292087" w:rsidRDefault="00F44964" w:rsidP="00D5701F">
            <w:pPr>
              <w:rPr>
                <w:i/>
              </w:rPr>
            </w:pPr>
            <w:r w:rsidRPr="00292087">
              <w:rPr>
                <w:i/>
              </w:rPr>
              <w:t>T. vaginalis</w:t>
            </w:r>
          </w:p>
        </w:tc>
        <w:tc>
          <w:tcPr>
            <w:tcW w:w="1848" w:type="dxa"/>
          </w:tcPr>
          <w:p w:rsidR="00F44964" w:rsidRDefault="00F44964" w:rsidP="00D5701F">
            <w:r>
              <w:t>496 (64.5)</w:t>
            </w:r>
          </w:p>
        </w:tc>
        <w:tc>
          <w:tcPr>
            <w:tcW w:w="1848" w:type="dxa"/>
          </w:tcPr>
          <w:p w:rsidR="00F44964" w:rsidRDefault="00F44964" w:rsidP="00D5701F">
            <w:r>
              <w:t>20 (100)</w:t>
            </w:r>
          </w:p>
        </w:tc>
        <w:tc>
          <w:tcPr>
            <w:tcW w:w="1849" w:type="dxa"/>
          </w:tcPr>
          <w:p w:rsidR="00F44964" w:rsidRDefault="00F44964" w:rsidP="00D5701F">
            <w:r>
              <w:t>114 (44.4)</w:t>
            </w:r>
          </w:p>
        </w:tc>
        <w:tc>
          <w:tcPr>
            <w:tcW w:w="1849" w:type="dxa"/>
          </w:tcPr>
          <w:p w:rsidR="00F44964" w:rsidRDefault="00F44964" w:rsidP="00F44964">
            <w:r>
              <w:t>10 (58.8)</w:t>
            </w:r>
          </w:p>
        </w:tc>
      </w:tr>
    </w:tbl>
    <w:p w:rsidR="00F44964" w:rsidRDefault="00F44964" w:rsidP="006E47E0">
      <w:pPr>
        <w:spacing w:after="0"/>
        <w:rPr>
          <w:b/>
        </w:rPr>
      </w:pPr>
    </w:p>
    <w:p w:rsidR="00B27821" w:rsidRDefault="00B27821" w:rsidP="006E47E0">
      <w:pPr>
        <w:spacing w:after="0"/>
        <w:rPr>
          <w:b/>
        </w:rPr>
      </w:pPr>
    </w:p>
    <w:p w:rsidR="00B27821" w:rsidRDefault="00B27821" w:rsidP="006E47E0">
      <w:pPr>
        <w:spacing w:after="0"/>
        <w:rPr>
          <w:b/>
        </w:rPr>
      </w:pPr>
      <w:r>
        <w:rPr>
          <w:b/>
        </w:rPr>
        <w:t>“Sexual Health Clinic” notifications and swabs</w:t>
      </w:r>
    </w:p>
    <w:p w:rsidR="00B27821" w:rsidRDefault="00B27821" w:rsidP="006E47E0">
      <w:pPr>
        <w:spacing w:after="0"/>
        <w:rPr>
          <w:b/>
        </w:rPr>
      </w:pPr>
    </w:p>
    <w:p w:rsidR="00B27821" w:rsidRDefault="00B27821" w:rsidP="006E47E0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</w:tblGrid>
      <w:tr w:rsidR="00B27821" w:rsidTr="00D5701F">
        <w:tc>
          <w:tcPr>
            <w:tcW w:w="1848" w:type="dxa"/>
          </w:tcPr>
          <w:p w:rsidR="00B27821" w:rsidRDefault="00B27821" w:rsidP="00D5701F"/>
        </w:tc>
        <w:tc>
          <w:tcPr>
            <w:tcW w:w="3696" w:type="dxa"/>
            <w:gridSpan w:val="2"/>
          </w:tcPr>
          <w:p w:rsidR="00B27821" w:rsidRDefault="00B27821" w:rsidP="00D5701F">
            <w:pPr>
              <w:jc w:val="center"/>
            </w:pPr>
            <w:r>
              <w:t>Sexual Health Clinic</w:t>
            </w:r>
          </w:p>
        </w:tc>
      </w:tr>
      <w:tr w:rsidR="00B27821" w:rsidTr="00D5701F">
        <w:tc>
          <w:tcPr>
            <w:tcW w:w="1848" w:type="dxa"/>
          </w:tcPr>
          <w:p w:rsidR="00B27821" w:rsidRDefault="00B27821" w:rsidP="00D5701F"/>
        </w:tc>
        <w:tc>
          <w:tcPr>
            <w:tcW w:w="1848" w:type="dxa"/>
          </w:tcPr>
          <w:p w:rsidR="00B27821" w:rsidRDefault="00B27821" w:rsidP="00B27821">
            <w:r>
              <w:t>Notifications (%)</w:t>
            </w:r>
          </w:p>
        </w:tc>
        <w:tc>
          <w:tcPr>
            <w:tcW w:w="1848" w:type="dxa"/>
          </w:tcPr>
          <w:p w:rsidR="00B27821" w:rsidRDefault="00B27821" w:rsidP="00D5701F">
            <w:r>
              <w:t>Swabs (%)</w:t>
            </w:r>
          </w:p>
        </w:tc>
      </w:tr>
      <w:tr w:rsidR="00B27821" w:rsidTr="00D5701F">
        <w:tc>
          <w:tcPr>
            <w:tcW w:w="1848" w:type="dxa"/>
          </w:tcPr>
          <w:p w:rsidR="00B27821" w:rsidRPr="00292087" w:rsidRDefault="00B27821" w:rsidP="00D5701F">
            <w:pPr>
              <w:rPr>
                <w:i/>
              </w:rPr>
            </w:pPr>
            <w:r w:rsidRPr="00292087">
              <w:rPr>
                <w:i/>
              </w:rPr>
              <w:t>C. trachomatis</w:t>
            </w:r>
          </w:p>
        </w:tc>
        <w:tc>
          <w:tcPr>
            <w:tcW w:w="1848" w:type="dxa"/>
          </w:tcPr>
          <w:p w:rsidR="00B27821" w:rsidRDefault="00B27821" w:rsidP="00D5701F">
            <w:r>
              <w:t>400 (79.2)</w:t>
            </w:r>
          </w:p>
        </w:tc>
        <w:tc>
          <w:tcPr>
            <w:tcW w:w="1848" w:type="dxa"/>
          </w:tcPr>
          <w:p w:rsidR="00B27821" w:rsidRDefault="00B27821" w:rsidP="00B27821">
            <w:r>
              <w:t>0 (0)</w:t>
            </w:r>
          </w:p>
        </w:tc>
      </w:tr>
      <w:tr w:rsidR="00B27821" w:rsidTr="00D5701F">
        <w:tc>
          <w:tcPr>
            <w:tcW w:w="1848" w:type="dxa"/>
          </w:tcPr>
          <w:p w:rsidR="00B27821" w:rsidRPr="00292087" w:rsidRDefault="00B27821" w:rsidP="00B27821">
            <w:pPr>
              <w:rPr>
                <w:i/>
              </w:rPr>
            </w:pPr>
            <w:r w:rsidRPr="00292087">
              <w:rPr>
                <w:i/>
              </w:rPr>
              <w:t>N. gono</w:t>
            </w:r>
            <w:r>
              <w:rPr>
                <w:i/>
              </w:rPr>
              <w:t>rrhoeae</w:t>
            </w:r>
            <w:r w:rsidRPr="00292087">
              <w:rPr>
                <w:i/>
              </w:rPr>
              <w:t xml:space="preserve"> </w:t>
            </w:r>
          </w:p>
        </w:tc>
        <w:tc>
          <w:tcPr>
            <w:tcW w:w="1848" w:type="dxa"/>
          </w:tcPr>
          <w:p w:rsidR="00B27821" w:rsidRDefault="00B27821" w:rsidP="00D5701F">
            <w:r>
              <w:t>71 (14.1)</w:t>
            </w:r>
          </w:p>
        </w:tc>
        <w:tc>
          <w:tcPr>
            <w:tcW w:w="1848" w:type="dxa"/>
          </w:tcPr>
          <w:p w:rsidR="00B27821" w:rsidRDefault="00B27821" w:rsidP="00D5701F">
            <w:r>
              <w:t>9 (90)</w:t>
            </w:r>
          </w:p>
        </w:tc>
      </w:tr>
      <w:tr w:rsidR="00B27821" w:rsidTr="00D5701F">
        <w:tc>
          <w:tcPr>
            <w:tcW w:w="1848" w:type="dxa"/>
          </w:tcPr>
          <w:p w:rsidR="00B27821" w:rsidRPr="00292087" w:rsidRDefault="00B27821" w:rsidP="00D5701F">
            <w:pPr>
              <w:rPr>
                <w:i/>
              </w:rPr>
            </w:pPr>
            <w:r w:rsidRPr="00292087">
              <w:rPr>
                <w:i/>
              </w:rPr>
              <w:t>T. vaginalis</w:t>
            </w:r>
          </w:p>
        </w:tc>
        <w:tc>
          <w:tcPr>
            <w:tcW w:w="1848" w:type="dxa"/>
          </w:tcPr>
          <w:p w:rsidR="00B27821" w:rsidRDefault="00B27821" w:rsidP="00D5701F">
            <w:r>
              <w:t>34 (6.7)</w:t>
            </w:r>
          </w:p>
        </w:tc>
        <w:tc>
          <w:tcPr>
            <w:tcW w:w="1848" w:type="dxa"/>
          </w:tcPr>
          <w:p w:rsidR="00B27821" w:rsidRDefault="00B27821" w:rsidP="00D5701F">
            <w:r>
              <w:t>1 (10)</w:t>
            </w:r>
          </w:p>
        </w:tc>
      </w:tr>
    </w:tbl>
    <w:p w:rsidR="00B27821" w:rsidRPr="00EE33B9" w:rsidRDefault="00B27821" w:rsidP="006E47E0">
      <w:pPr>
        <w:spacing w:after="0"/>
        <w:rPr>
          <w:b/>
        </w:rPr>
      </w:pPr>
    </w:p>
    <w:sectPr w:rsidR="00B27821" w:rsidRPr="00EE3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E0"/>
    <w:rsid w:val="004C4DD4"/>
    <w:rsid w:val="006D42D3"/>
    <w:rsid w:val="006E47E0"/>
    <w:rsid w:val="00AD5C7D"/>
    <w:rsid w:val="00B27821"/>
    <w:rsid w:val="00BB512D"/>
    <w:rsid w:val="00D60E2F"/>
    <w:rsid w:val="00EE33B9"/>
    <w:rsid w:val="00F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7E0"/>
    <w:rPr>
      <w:color w:val="0000FF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6E47E0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E47E0"/>
    <w:rPr>
      <w:rFonts w:ascii="Calibri" w:hAnsi="Calibri"/>
      <w:noProof/>
      <w:lang w:val="en-US"/>
    </w:rPr>
  </w:style>
  <w:style w:type="table" w:styleId="TableGrid">
    <w:name w:val="Table Grid"/>
    <w:basedOn w:val="TableNormal"/>
    <w:uiPriority w:val="59"/>
    <w:rsid w:val="00EE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7E0"/>
    <w:rPr>
      <w:color w:val="0000FF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6E47E0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E47E0"/>
    <w:rPr>
      <w:rFonts w:ascii="Calibri" w:hAnsi="Calibri"/>
      <w:noProof/>
      <w:lang w:val="en-US"/>
    </w:rPr>
  </w:style>
  <w:style w:type="table" w:styleId="TableGrid">
    <w:name w:val="Table Grid"/>
    <w:basedOn w:val="TableNormal"/>
    <w:uiPriority w:val="59"/>
    <w:rsid w:val="00EE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gitallibrary.health.nt.gov.au/prodjspui/bitstream/10137/237/102/Surveillance%20Update%20Vol%2013%20no%202%20July-September%20%20%26%20October-December%202012.pdf" TargetMode="External"/><Relationship Id="rId5" Type="http://schemas.openxmlformats.org/officeDocument/2006/relationships/hyperlink" Target="http://digitallibrary.health.nt.gov.au/prodjspui/bitstream/10137/237/101/Surveillance%20Update%20Vol%2013%20no%201%20January-March%20%26%20April-June%202012%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pgiffard</dc:creator>
  <cp:lastModifiedBy>pgiffard</cp:lastModifiedBy>
  <cp:revision>3</cp:revision>
  <dcterms:created xsi:type="dcterms:W3CDTF">2017-03-17T00:17:00Z</dcterms:created>
  <dcterms:modified xsi:type="dcterms:W3CDTF">2017-03-17T00:20:00Z</dcterms:modified>
</cp:coreProperties>
</file>