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2" w:rsidRPr="00AF32B2" w:rsidRDefault="00AF32B2" w:rsidP="00AF32B2">
      <w:pPr>
        <w:pStyle w:val="Caption"/>
        <w:rPr>
          <w:b w:val="0"/>
          <w:sz w:val="24"/>
          <w:szCs w:val="24"/>
        </w:rPr>
      </w:pPr>
      <w:bookmarkStart w:id="0" w:name="_Ref480980826"/>
      <w:proofErr w:type="gramStart"/>
      <w:r w:rsidRPr="00886228">
        <w:rPr>
          <w:sz w:val="24"/>
          <w:szCs w:val="24"/>
        </w:rPr>
        <w:t xml:space="preserve">Supplementary Table </w:t>
      </w:r>
      <w:bookmarkEnd w:id="0"/>
      <w:r w:rsidR="00651773" w:rsidRPr="00886228">
        <w:rPr>
          <w:sz w:val="24"/>
          <w:szCs w:val="24"/>
        </w:rPr>
        <w:t>5</w:t>
      </w:r>
      <w:r w:rsidR="00A3643D" w:rsidRPr="00886228">
        <w:rPr>
          <w:sz w:val="24"/>
          <w:szCs w:val="24"/>
        </w:rPr>
        <w:t>.</w:t>
      </w:r>
      <w:proofErr w:type="gramEnd"/>
      <w:r w:rsidRPr="00AF32B2">
        <w:rPr>
          <w:b w:val="0"/>
          <w:sz w:val="24"/>
          <w:szCs w:val="24"/>
        </w:rPr>
        <w:t xml:space="preserve"> </w:t>
      </w:r>
      <w:proofErr w:type="gramStart"/>
      <w:r w:rsidRPr="00AF32B2">
        <w:rPr>
          <w:b w:val="0"/>
          <w:sz w:val="24"/>
          <w:szCs w:val="24"/>
        </w:rPr>
        <w:t xml:space="preserve">Maximum Matthew’s correlation coefficient (MCC) for 18 streptococcal species when separating them by pairwise </w:t>
      </w:r>
      <w:proofErr w:type="spellStart"/>
      <w:r w:rsidRPr="00AF32B2">
        <w:rPr>
          <w:b w:val="0"/>
          <w:sz w:val="24"/>
          <w:szCs w:val="24"/>
        </w:rPr>
        <w:t>kmer</w:t>
      </w:r>
      <w:proofErr w:type="spellEnd"/>
      <w:r w:rsidRPr="00AF32B2">
        <w:rPr>
          <w:b w:val="0"/>
          <w:sz w:val="24"/>
          <w:szCs w:val="24"/>
        </w:rPr>
        <w:t xml:space="preserve"> </w:t>
      </w:r>
      <w:proofErr w:type="spellStart"/>
      <w:r w:rsidRPr="00AF32B2">
        <w:rPr>
          <w:b w:val="0"/>
          <w:sz w:val="24"/>
          <w:szCs w:val="24"/>
        </w:rPr>
        <w:t>Jaccard</w:t>
      </w:r>
      <w:proofErr w:type="spellEnd"/>
      <w:r w:rsidRPr="00AF32B2">
        <w:rPr>
          <w:b w:val="0"/>
          <w:sz w:val="24"/>
          <w:szCs w:val="24"/>
        </w:rPr>
        <w:t xml:space="preserve"> index of set similarity (JI) comparison from other streptococcal species.</w:t>
      </w:r>
      <w:proofErr w:type="gramEnd"/>
      <w:r w:rsidRPr="00AF32B2">
        <w:rPr>
          <w:b w:val="0"/>
          <w:sz w:val="24"/>
          <w:szCs w:val="24"/>
        </w:rPr>
        <w:t xml:space="preserve"> The maximum and minimum JI values denote a range in which the MCC is 95% of the maximum or above</w:t>
      </w:r>
      <w:r>
        <w:rPr>
          <w:b w:val="0"/>
          <w:sz w:val="24"/>
          <w:szCs w:val="24"/>
        </w:rPr>
        <w:t>.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276"/>
        <w:gridCol w:w="1275"/>
        <w:gridCol w:w="1276"/>
        <w:gridCol w:w="1276"/>
      </w:tblGrid>
      <w:tr w:rsidR="00AF32B2" w:rsidRPr="00AF32B2" w:rsidTr="00AF32B2">
        <w:trPr>
          <w:trHeight w:val="752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AF32B2" w:rsidRDefault="00AF32B2" w:rsidP="00E170C8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AF32B2">
              <w:rPr>
                <w:b/>
                <w:sz w:val="24"/>
                <w:szCs w:val="24"/>
                <w:lang w:eastAsia="en-GB"/>
              </w:rPr>
              <w:t>Streptococcal species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AF32B2" w:rsidRDefault="00AF32B2" w:rsidP="00E170C8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AF32B2">
              <w:rPr>
                <w:b/>
                <w:sz w:val="24"/>
                <w:szCs w:val="24"/>
                <w:lang w:eastAsia="en-GB"/>
              </w:rPr>
              <w:t>Max MCC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AF32B2" w:rsidRDefault="00AF32B2" w:rsidP="00E170C8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AF32B2">
              <w:rPr>
                <w:b/>
                <w:sz w:val="24"/>
                <w:szCs w:val="24"/>
                <w:lang w:eastAsia="en-GB"/>
              </w:rPr>
              <w:t>MCC limit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AF32B2" w:rsidRDefault="00AF32B2" w:rsidP="00E170C8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AF32B2">
              <w:rPr>
                <w:b/>
                <w:sz w:val="24"/>
                <w:szCs w:val="24"/>
                <w:lang w:eastAsia="en-GB"/>
              </w:rPr>
              <w:t>Min JI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AF32B2" w:rsidRDefault="00AF32B2" w:rsidP="00E170C8">
            <w:pPr>
              <w:spacing w:line="240" w:lineRule="auto"/>
              <w:rPr>
                <w:b/>
                <w:sz w:val="24"/>
                <w:szCs w:val="24"/>
                <w:lang w:eastAsia="en-GB"/>
              </w:rPr>
            </w:pPr>
            <w:r w:rsidRPr="00AF32B2">
              <w:rPr>
                <w:b/>
                <w:sz w:val="24"/>
                <w:szCs w:val="24"/>
                <w:lang w:eastAsia="en-GB"/>
              </w:rPr>
              <w:t>Max JI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sanguinis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mutans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0.6</w:t>
            </w:r>
          </w:p>
        </w:tc>
        <w:bookmarkStart w:id="1" w:name="_GoBack"/>
        <w:bookmarkEnd w:id="1"/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r w:rsidRPr="00D40221">
              <w:rPr>
                <w:i/>
                <w:sz w:val="24"/>
                <w:szCs w:val="24"/>
              </w:rPr>
              <w:t>pneumoniae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0.6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anginosus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infantis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0.08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thermophilus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0.5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dysgalactiae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0.3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0.4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suis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0.25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parauberis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0.6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oralis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0.15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r w:rsidRPr="00D40221">
              <w:rPr>
                <w:i/>
                <w:sz w:val="24"/>
                <w:szCs w:val="24"/>
              </w:rPr>
              <w:t>mitis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constellatus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0.4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salivarius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0.25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agalactiae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0.55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40221">
              <w:rPr>
                <w:i/>
                <w:sz w:val="24"/>
                <w:szCs w:val="24"/>
              </w:rPr>
              <w:t>parasanguinis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0.2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r w:rsidRPr="00D40221">
              <w:rPr>
                <w:i/>
                <w:sz w:val="24"/>
                <w:szCs w:val="24"/>
              </w:rPr>
              <w:t>pyogenes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0.6</w:t>
            </w:r>
          </w:p>
        </w:tc>
      </w:tr>
      <w:tr w:rsidR="00AF32B2" w:rsidRPr="00D40221" w:rsidTr="00AF32B2">
        <w:trPr>
          <w:trHeight w:val="4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i/>
                <w:sz w:val="24"/>
                <w:szCs w:val="24"/>
              </w:rPr>
            </w:pPr>
            <w:r w:rsidRPr="00D40221">
              <w:rPr>
                <w:i/>
                <w:sz w:val="24"/>
                <w:szCs w:val="24"/>
                <w:lang w:eastAsia="en-GB"/>
              </w:rPr>
              <w:t xml:space="preserve">S. </w:t>
            </w:r>
            <w:r w:rsidRPr="00D40221">
              <w:rPr>
                <w:i/>
                <w:sz w:val="24"/>
                <w:szCs w:val="24"/>
              </w:rPr>
              <w:t>intermedius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2B2" w:rsidRPr="00D40221" w:rsidRDefault="00AF32B2" w:rsidP="00E170C8">
            <w:pPr>
              <w:spacing w:line="240" w:lineRule="auto"/>
              <w:rPr>
                <w:sz w:val="24"/>
                <w:szCs w:val="24"/>
                <w:lang w:eastAsia="en-GB"/>
              </w:rPr>
            </w:pPr>
            <w:r w:rsidRPr="00D40221">
              <w:rPr>
                <w:sz w:val="24"/>
                <w:szCs w:val="24"/>
                <w:lang w:eastAsia="en-GB"/>
              </w:rPr>
              <w:t>0.5</w:t>
            </w:r>
          </w:p>
        </w:tc>
      </w:tr>
    </w:tbl>
    <w:p w:rsidR="00AF32B2" w:rsidRPr="00D40221" w:rsidRDefault="00AF32B2" w:rsidP="00AF32B2">
      <w:pPr>
        <w:rPr>
          <w:sz w:val="24"/>
          <w:szCs w:val="24"/>
        </w:rPr>
      </w:pPr>
    </w:p>
    <w:p w:rsidR="00FF0A61" w:rsidRDefault="00FF0A61"/>
    <w:sectPr w:rsidR="00FF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2"/>
    <w:rsid w:val="005B6337"/>
    <w:rsid w:val="005E2CA6"/>
    <w:rsid w:val="00651773"/>
    <w:rsid w:val="0071434A"/>
    <w:rsid w:val="00886228"/>
    <w:rsid w:val="008E212D"/>
    <w:rsid w:val="00957A51"/>
    <w:rsid w:val="00A3643D"/>
    <w:rsid w:val="00AF32B2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2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32B2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2"/>
    <w:pPr>
      <w:spacing w:line="48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32B2"/>
    <w:pPr>
      <w:keepNext/>
      <w:spacing w:line="240" w:lineRule="auto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Sheppard</dc:creator>
  <cp:lastModifiedBy>Carmen Sheppard</cp:lastModifiedBy>
  <cp:revision>2</cp:revision>
  <dcterms:created xsi:type="dcterms:W3CDTF">2017-06-05T11:56:00Z</dcterms:created>
  <dcterms:modified xsi:type="dcterms:W3CDTF">2017-06-05T11:56:00Z</dcterms:modified>
</cp:coreProperties>
</file>