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716A4" w:rsidRPr="00B276E7" w:rsidRDefault="009716A4" w:rsidP="009716A4">
      <w:pPr>
        <w:rPr>
          <w:rFonts w:asciiTheme="majorHAnsi" w:hAnsiTheme="majorHAnsi"/>
          <w:sz w:val="22"/>
          <w:szCs w:val="22"/>
        </w:rPr>
      </w:pPr>
      <w:r w:rsidRPr="00B276E7">
        <w:rPr>
          <w:rFonts w:asciiTheme="majorHAnsi" w:hAnsiTheme="majorHAnsi"/>
          <w:b/>
          <w:bCs/>
          <w:sz w:val="22"/>
          <w:szCs w:val="22"/>
        </w:rPr>
        <w:t>TITLE:</w:t>
      </w:r>
      <w:r w:rsidRPr="00B276E7">
        <w:rPr>
          <w:rFonts w:asciiTheme="majorHAnsi" w:hAnsiTheme="majorHAnsi"/>
          <w:sz w:val="22"/>
          <w:szCs w:val="22"/>
        </w:rPr>
        <w:t xml:space="preserve"> Supplementation of vitamin D</w:t>
      </w:r>
      <w:r w:rsidRPr="00B276E7">
        <w:rPr>
          <w:rFonts w:asciiTheme="majorHAnsi" w:hAnsiTheme="majorHAnsi"/>
          <w:sz w:val="22"/>
          <w:szCs w:val="22"/>
          <w:vertAlign w:val="subscript"/>
        </w:rPr>
        <w:t>3</w:t>
      </w:r>
      <w:r w:rsidRPr="00B276E7">
        <w:rPr>
          <w:rFonts w:asciiTheme="majorHAnsi" w:hAnsiTheme="majorHAnsi"/>
          <w:sz w:val="22"/>
          <w:szCs w:val="22"/>
        </w:rPr>
        <w:t xml:space="preserve"> (Cholecalciferol) in patients with inflammatory bowel diseases (IBD) and hypovitaminosis D: A prospective randomized trial.</w:t>
      </w:r>
    </w:p>
    <w:p w:rsidR="009716A4" w:rsidRPr="00B276E7" w:rsidRDefault="009716A4" w:rsidP="009716A4">
      <w:pPr>
        <w:rPr>
          <w:rFonts w:asciiTheme="majorHAnsi" w:hAnsiTheme="majorHAnsi"/>
          <w:sz w:val="22"/>
          <w:szCs w:val="22"/>
        </w:rPr>
      </w:pPr>
    </w:p>
    <w:p w:rsidR="009716A4" w:rsidRPr="00B276E7" w:rsidRDefault="009716A4" w:rsidP="009716A4">
      <w:pPr>
        <w:rPr>
          <w:rFonts w:asciiTheme="majorHAnsi" w:hAnsiTheme="majorHAnsi"/>
          <w:sz w:val="22"/>
          <w:szCs w:val="22"/>
        </w:rPr>
      </w:pPr>
      <w:r w:rsidRPr="00B276E7">
        <w:rPr>
          <w:rFonts w:asciiTheme="majorHAnsi" w:hAnsiTheme="majorHAnsi"/>
          <w:b/>
          <w:bCs/>
          <w:sz w:val="22"/>
          <w:szCs w:val="22"/>
        </w:rPr>
        <w:t>INVESTIGATORS:</w:t>
      </w:r>
      <w:r w:rsidRPr="00B276E7">
        <w:rPr>
          <w:rFonts w:asciiTheme="majorHAnsi" w:hAnsiTheme="majorHAnsi"/>
          <w:sz w:val="22"/>
          <w:szCs w:val="22"/>
        </w:rPr>
        <w:t xml:space="preserve"> Jagrati Mathur, Paul Mills, Soe Naing, David Limsui</w:t>
      </w:r>
    </w:p>
    <w:p w:rsidR="009716A4" w:rsidRPr="00B276E7" w:rsidRDefault="009716A4" w:rsidP="009716A4">
      <w:pPr>
        <w:rPr>
          <w:rFonts w:asciiTheme="majorHAnsi" w:hAnsiTheme="majorHAnsi" w:cs="Times New Roman"/>
          <w:b/>
          <w:bCs/>
          <w:sz w:val="22"/>
          <w:szCs w:val="22"/>
        </w:rPr>
      </w:pPr>
    </w:p>
    <w:p w:rsidR="009716A4" w:rsidRPr="00B276E7" w:rsidRDefault="009716A4" w:rsidP="009716A4">
      <w:pPr>
        <w:rPr>
          <w:rFonts w:asciiTheme="majorHAnsi" w:hAnsiTheme="majorHAnsi"/>
          <w:b/>
          <w:bCs/>
          <w:sz w:val="22"/>
          <w:szCs w:val="22"/>
        </w:rPr>
      </w:pPr>
      <w:r w:rsidRPr="00B276E7">
        <w:rPr>
          <w:rFonts w:asciiTheme="majorHAnsi" w:hAnsiTheme="majorHAnsi"/>
          <w:b/>
          <w:bCs/>
          <w:sz w:val="22"/>
          <w:szCs w:val="22"/>
        </w:rPr>
        <w:t>BACKGROUND:</w:t>
      </w:r>
    </w:p>
    <w:p w:rsidR="009716A4" w:rsidRPr="00B276E7" w:rsidRDefault="009716A4" w:rsidP="009716A4">
      <w:pPr>
        <w:rPr>
          <w:rFonts w:asciiTheme="majorHAnsi" w:hAnsiTheme="majorHAnsi"/>
          <w:sz w:val="22"/>
          <w:szCs w:val="22"/>
        </w:rPr>
      </w:pPr>
      <w:r w:rsidRPr="00B276E7">
        <w:rPr>
          <w:rFonts w:asciiTheme="majorHAnsi" w:hAnsiTheme="majorHAnsi"/>
          <w:sz w:val="22"/>
          <w:szCs w:val="22"/>
        </w:rPr>
        <w:t xml:space="preserve">Crohns disease (CD) and Ulcerative colitis (UC) are the main forms of inflammatory bowel disease (IBD). The pathogenesis of IBD is incompletely understood. It is thought to involve a complex interplay of genetic, environmental and microbial factors in the context of an abnormal and inappropriate autoimmune response, when defective mucosa is exposed to unknown luminal antigens. Autoimmune T cells attack the bowel mucosa and cause inflammation by releasing inflammatory cytokines such as interleukins (IL-17), Interferon- gamma (INF) and a few other regulatory cells. Another potential pathogenic factor in CD is impaired mucosal barrier function and intestinal hyperpermeability. </w:t>
      </w:r>
      <w:r w:rsidRPr="00B276E7">
        <w:rPr>
          <w:rFonts w:asciiTheme="majorHAnsi" w:hAnsiTheme="majorHAnsi"/>
          <w:sz w:val="22"/>
          <w:szCs w:val="22"/>
          <w:vertAlign w:val="subscript"/>
        </w:rPr>
        <w:t>(1)</w:t>
      </w:r>
      <w:r w:rsidRPr="00B276E7">
        <w:rPr>
          <w:rFonts w:asciiTheme="majorHAnsi" w:hAnsiTheme="majorHAnsi"/>
          <w:sz w:val="22"/>
          <w:szCs w:val="22"/>
        </w:rPr>
        <w:t xml:space="preserve"> </w:t>
      </w:r>
    </w:p>
    <w:p w:rsidR="009716A4" w:rsidRPr="00B276E7" w:rsidRDefault="009716A4" w:rsidP="009716A4">
      <w:pPr>
        <w:rPr>
          <w:rFonts w:asciiTheme="majorHAnsi" w:hAnsiTheme="majorHAnsi"/>
          <w:sz w:val="22"/>
          <w:szCs w:val="22"/>
          <w:vertAlign w:val="subscript"/>
        </w:rPr>
      </w:pPr>
      <w:r w:rsidRPr="00B276E7">
        <w:rPr>
          <w:rFonts w:asciiTheme="majorHAnsi" w:hAnsiTheme="majorHAnsi"/>
          <w:sz w:val="22"/>
          <w:szCs w:val="22"/>
        </w:rPr>
        <w:t xml:space="preserve">The incidence of hypovitaminosis D has been reported to be as high as 75%, in patients with IBD. </w:t>
      </w:r>
      <w:r w:rsidRPr="00B276E7">
        <w:rPr>
          <w:rFonts w:asciiTheme="majorHAnsi" w:hAnsiTheme="majorHAnsi"/>
          <w:sz w:val="22"/>
          <w:szCs w:val="22"/>
          <w:vertAlign w:val="subscript"/>
        </w:rPr>
        <w:t>(2)</w:t>
      </w:r>
      <w:r w:rsidRPr="00B276E7">
        <w:rPr>
          <w:rFonts w:asciiTheme="majorHAnsi" w:hAnsiTheme="majorHAnsi"/>
          <w:sz w:val="22"/>
          <w:szCs w:val="22"/>
        </w:rPr>
        <w:t xml:space="preserve"> However, it is unclear whether low vitamin D levels contribute to the pathogenesis of IBD or are a consequence of IBD. Recent animal data however does suggest that maintenance of epithelial barrier integrity in the large intestine by vitamin D is critical in preventing IBD. </w:t>
      </w:r>
      <w:r w:rsidRPr="00B276E7">
        <w:rPr>
          <w:rFonts w:asciiTheme="majorHAnsi" w:hAnsiTheme="majorHAnsi"/>
          <w:sz w:val="22"/>
          <w:szCs w:val="22"/>
          <w:vertAlign w:val="subscript"/>
        </w:rPr>
        <w:t>(3)</w:t>
      </w:r>
    </w:p>
    <w:p w:rsidR="009716A4" w:rsidRPr="00B276E7" w:rsidRDefault="009716A4" w:rsidP="009716A4">
      <w:pPr>
        <w:rPr>
          <w:rFonts w:asciiTheme="majorHAnsi" w:hAnsiTheme="majorHAnsi"/>
          <w:sz w:val="22"/>
          <w:szCs w:val="22"/>
        </w:rPr>
      </w:pPr>
      <w:r w:rsidRPr="00B276E7">
        <w:rPr>
          <w:rFonts w:asciiTheme="majorHAnsi" w:hAnsiTheme="majorHAnsi"/>
          <w:sz w:val="22"/>
          <w:szCs w:val="22"/>
        </w:rPr>
        <w:t>The sum of vitamin D</w:t>
      </w:r>
      <w:r w:rsidRPr="00B276E7">
        <w:rPr>
          <w:rFonts w:asciiTheme="majorHAnsi" w:hAnsiTheme="majorHAnsi"/>
          <w:sz w:val="22"/>
          <w:szCs w:val="22"/>
          <w:vertAlign w:val="subscript"/>
        </w:rPr>
        <w:t>2</w:t>
      </w:r>
      <w:r w:rsidRPr="00B276E7">
        <w:rPr>
          <w:rFonts w:asciiTheme="majorHAnsi" w:hAnsiTheme="majorHAnsi"/>
          <w:sz w:val="22"/>
          <w:szCs w:val="22"/>
        </w:rPr>
        <w:t xml:space="preserve"> and D</w:t>
      </w:r>
      <w:r w:rsidRPr="00B276E7">
        <w:rPr>
          <w:rFonts w:asciiTheme="majorHAnsi" w:hAnsiTheme="majorHAnsi"/>
          <w:sz w:val="22"/>
          <w:szCs w:val="22"/>
          <w:vertAlign w:val="subscript"/>
        </w:rPr>
        <w:t>3</w:t>
      </w:r>
      <w:r w:rsidRPr="00B276E7">
        <w:rPr>
          <w:rFonts w:asciiTheme="majorHAnsi" w:hAnsiTheme="majorHAnsi"/>
          <w:sz w:val="22"/>
          <w:szCs w:val="22"/>
        </w:rPr>
        <w:t xml:space="preserve"> contributes to the total body stores of vitamin D. Vitamin D synthesis mostly takes place endogenously in the skin by sunlight (UV) exposure and 7- dehydrocholesterol gets converted to Cholecalciferol photochemically.  Cholecalciferol is then converted by the liver into 25 hydroxy cholecalciferol 25(OH)D</w:t>
      </w:r>
      <w:r w:rsidRPr="00B276E7">
        <w:rPr>
          <w:rFonts w:asciiTheme="majorHAnsi" w:hAnsiTheme="majorHAnsi"/>
          <w:sz w:val="22"/>
          <w:szCs w:val="22"/>
          <w:vertAlign w:val="subscript"/>
        </w:rPr>
        <w:t xml:space="preserve">, </w:t>
      </w:r>
      <w:r w:rsidRPr="00B276E7">
        <w:rPr>
          <w:rFonts w:asciiTheme="majorHAnsi" w:hAnsiTheme="majorHAnsi"/>
          <w:sz w:val="22"/>
          <w:szCs w:val="22"/>
        </w:rPr>
        <w:t>which is</w:t>
      </w:r>
      <w:r w:rsidRPr="00B276E7">
        <w:rPr>
          <w:rFonts w:asciiTheme="majorHAnsi" w:hAnsiTheme="majorHAnsi"/>
          <w:sz w:val="22"/>
          <w:szCs w:val="22"/>
          <w:vertAlign w:val="subscript"/>
        </w:rPr>
        <w:t xml:space="preserve"> </w:t>
      </w:r>
      <w:r w:rsidRPr="00B276E7">
        <w:rPr>
          <w:rFonts w:asciiTheme="majorHAnsi" w:hAnsiTheme="majorHAnsi"/>
          <w:sz w:val="22"/>
          <w:szCs w:val="22"/>
        </w:rPr>
        <w:t>the major circulatory form of vitamin D. 25(OH)D</w:t>
      </w:r>
      <w:r w:rsidRPr="00B276E7">
        <w:rPr>
          <w:rFonts w:asciiTheme="majorHAnsi" w:hAnsiTheme="majorHAnsi"/>
          <w:sz w:val="22"/>
          <w:szCs w:val="22"/>
          <w:vertAlign w:val="subscript"/>
        </w:rPr>
        <w:t xml:space="preserve"> </w:t>
      </w:r>
      <w:r w:rsidRPr="00B276E7">
        <w:rPr>
          <w:rFonts w:asciiTheme="majorHAnsi" w:hAnsiTheme="majorHAnsi"/>
          <w:sz w:val="22"/>
          <w:szCs w:val="22"/>
        </w:rPr>
        <w:t>is largely inactive and has a long half life and thus is the best indicator of overall vitamin D status. Finally 25(OH)D is then converted in the kidney to its active form 1,25(OH)</w:t>
      </w:r>
      <w:r w:rsidRPr="00B276E7">
        <w:rPr>
          <w:rFonts w:asciiTheme="majorHAnsi" w:hAnsiTheme="majorHAnsi"/>
          <w:sz w:val="22"/>
          <w:szCs w:val="22"/>
          <w:vertAlign w:val="subscript"/>
        </w:rPr>
        <w:t>2</w:t>
      </w:r>
      <w:r w:rsidRPr="00B276E7">
        <w:rPr>
          <w:rFonts w:asciiTheme="majorHAnsi" w:hAnsiTheme="majorHAnsi"/>
          <w:sz w:val="22"/>
          <w:szCs w:val="22"/>
        </w:rPr>
        <w:t>D</w:t>
      </w:r>
      <w:r w:rsidRPr="00B276E7">
        <w:rPr>
          <w:rFonts w:asciiTheme="majorHAnsi" w:hAnsiTheme="majorHAnsi"/>
          <w:sz w:val="22"/>
          <w:szCs w:val="22"/>
          <w:vertAlign w:val="subscript"/>
        </w:rPr>
        <w:t>3</w:t>
      </w:r>
      <w:r w:rsidRPr="00B276E7">
        <w:rPr>
          <w:rFonts w:asciiTheme="majorHAnsi" w:hAnsiTheme="majorHAnsi"/>
          <w:sz w:val="22"/>
          <w:szCs w:val="22"/>
        </w:rPr>
        <w:t xml:space="preserve"> (D</w:t>
      </w:r>
      <w:r w:rsidRPr="00B276E7">
        <w:rPr>
          <w:rFonts w:asciiTheme="majorHAnsi" w:hAnsiTheme="majorHAnsi"/>
          <w:sz w:val="22"/>
          <w:szCs w:val="22"/>
          <w:vertAlign w:val="subscript"/>
        </w:rPr>
        <w:t>3</w:t>
      </w:r>
      <w:r w:rsidRPr="00B276E7">
        <w:rPr>
          <w:rFonts w:asciiTheme="majorHAnsi" w:hAnsiTheme="majorHAnsi"/>
          <w:sz w:val="22"/>
          <w:szCs w:val="22"/>
        </w:rPr>
        <w:t xml:space="preserve"> or calcitriol). Although vitamin D can also be absorbed by the intestine but most foods contain insignificant amounts of vitamin D except oily fish.</w:t>
      </w:r>
    </w:p>
    <w:p w:rsidR="009716A4" w:rsidRPr="00B276E7" w:rsidRDefault="009716A4" w:rsidP="009716A4">
      <w:pPr>
        <w:rPr>
          <w:rFonts w:asciiTheme="majorHAnsi" w:hAnsiTheme="majorHAnsi" w:cs="Times New Roman"/>
          <w:sz w:val="22"/>
          <w:szCs w:val="22"/>
        </w:rPr>
      </w:pPr>
      <w:r w:rsidRPr="00B276E7">
        <w:rPr>
          <w:rFonts w:asciiTheme="majorHAnsi" w:hAnsiTheme="majorHAnsi"/>
          <w:sz w:val="22"/>
          <w:szCs w:val="22"/>
        </w:rPr>
        <w:t>Based on the 25(OH)D</w:t>
      </w:r>
      <w:r w:rsidRPr="00B276E7">
        <w:rPr>
          <w:rFonts w:asciiTheme="majorHAnsi" w:hAnsiTheme="majorHAnsi"/>
          <w:sz w:val="22"/>
          <w:szCs w:val="22"/>
          <w:vertAlign w:val="subscript"/>
        </w:rPr>
        <w:t>3</w:t>
      </w:r>
      <w:r w:rsidRPr="00B276E7">
        <w:rPr>
          <w:rFonts w:asciiTheme="majorHAnsi" w:hAnsiTheme="majorHAnsi"/>
          <w:sz w:val="22"/>
          <w:szCs w:val="22"/>
        </w:rPr>
        <w:t xml:space="preserve"> levels in an individual, vitamin D may be adequate or deficient in the body. Levels &lt;10 ng/ml is ‘severe vitamin D deficiency’, levels between 10-20ng/ml is ‘vitamin D deficiency’, levels between 20-30ng/ml is ‘vitamin D insufficiency’ and levels &gt;30 ng/ml are considered ‘adequate vitamin D’. According to the 2011 Institute of Medicine (IOM) report, the required daily allowance (RDA) of vitamin D  to achieve 25(OH)D levels &gt;20ng/ml is between 600 IU to 4,000IU in patients btw 1-70 yrs and &gt;71yrs of age is 800IU- 4,000IU. </w:t>
      </w:r>
      <w:r w:rsidRPr="00B276E7">
        <w:rPr>
          <w:rFonts w:asciiTheme="majorHAnsi" w:hAnsiTheme="majorHAnsi"/>
          <w:sz w:val="22"/>
          <w:szCs w:val="22"/>
          <w:vertAlign w:val="subscript"/>
        </w:rPr>
        <w:t>(4)</w:t>
      </w:r>
    </w:p>
    <w:p w:rsidR="009716A4" w:rsidRPr="00B276E7" w:rsidRDefault="009716A4" w:rsidP="009716A4">
      <w:pPr>
        <w:rPr>
          <w:rFonts w:asciiTheme="majorHAnsi" w:hAnsiTheme="majorHAnsi"/>
          <w:sz w:val="22"/>
          <w:szCs w:val="22"/>
        </w:rPr>
      </w:pPr>
      <w:r w:rsidRPr="00B276E7">
        <w:rPr>
          <w:rFonts w:asciiTheme="majorHAnsi" w:hAnsiTheme="majorHAnsi"/>
          <w:sz w:val="22"/>
          <w:szCs w:val="22"/>
        </w:rPr>
        <w:t xml:space="preserve">In the last 5 years, there has been an increasing interest in the role of vitamin D and its analogues as immune modulators, in addition to their role in the metabolism of calcium and phosphorous and in bone formation and mineralization. The immune regulatory role of Vitamin D affects both the innate and adoptive immunity and contributes to the immune-tolerance of self-structures. </w:t>
      </w:r>
    </w:p>
    <w:p w:rsidR="009716A4" w:rsidRPr="00B276E7" w:rsidRDefault="009716A4" w:rsidP="009716A4">
      <w:pPr>
        <w:rPr>
          <w:rFonts w:asciiTheme="majorHAnsi" w:hAnsiTheme="majorHAnsi" w:cs="Times New Roman"/>
          <w:sz w:val="22"/>
          <w:szCs w:val="22"/>
          <w:vertAlign w:val="subscript"/>
        </w:rPr>
      </w:pPr>
      <w:r w:rsidRPr="00B276E7">
        <w:rPr>
          <w:rFonts w:asciiTheme="majorHAnsi" w:hAnsiTheme="majorHAnsi"/>
          <w:sz w:val="22"/>
          <w:szCs w:val="22"/>
        </w:rPr>
        <w:t xml:space="preserve">Supplementation of Vitamin D in animals has also shown to reduce the severity of symptoms and exacerbations in autoimmune diseases such as rheumatoid arthritis and Multiple Sclerosis in other studies. </w:t>
      </w:r>
      <w:r w:rsidRPr="00B276E7">
        <w:rPr>
          <w:rFonts w:asciiTheme="majorHAnsi" w:hAnsiTheme="majorHAnsi"/>
          <w:sz w:val="22"/>
          <w:szCs w:val="22"/>
          <w:vertAlign w:val="subscript"/>
        </w:rPr>
        <w:t>(5,6,7)</w:t>
      </w:r>
      <w:r w:rsidRPr="00B276E7">
        <w:rPr>
          <w:rFonts w:asciiTheme="majorHAnsi" w:hAnsiTheme="majorHAnsi"/>
          <w:sz w:val="22"/>
          <w:szCs w:val="22"/>
        </w:rPr>
        <w:t xml:space="preserve"> Studies show that low levels of vitamin D are independently associated with a lower quality of life and greater disease activity in patients with Crohns </w:t>
      </w:r>
      <w:r w:rsidRPr="00B276E7">
        <w:rPr>
          <w:rFonts w:asciiTheme="majorHAnsi" w:hAnsiTheme="majorHAnsi"/>
          <w:sz w:val="22"/>
          <w:szCs w:val="22"/>
          <w:vertAlign w:val="subscript"/>
        </w:rPr>
        <w:t>(2, 8)</w:t>
      </w:r>
      <w:r w:rsidRPr="00B276E7">
        <w:rPr>
          <w:rFonts w:asciiTheme="majorHAnsi" w:hAnsiTheme="majorHAnsi"/>
          <w:sz w:val="22"/>
          <w:szCs w:val="22"/>
        </w:rPr>
        <w:t xml:space="preserve"> . In a prospective study involving 37 crohns patients, the investigators compared the effect of active vitamin D (1,25 (OH)D)(aVD) versus plain vitamin D (25 (OH)D)(pVD) on bone metabolism and disease activity and showed that both the forms of vitamin D significantly decreased disease activity and markers of bone turnover. </w:t>
      </w:r>
      <w:r w:rsidRPr="00B276E7">
        <w:rPr>
          <w:rFonts w:asciiTheme="majorHAnsi" w:hAnsiTheme="majorHAnsi"/>
          <w:sz w:val="22"/>
          <w:szCs w:val="22"/>
          <w:vertAlign w:val="subscript"/>
        </w:rPr>
        <w:t>(9)</w:t>
      </w:r>
      <w:r w:rsidRPr="00B276E7">
        <w:rPr>
          <w:rFonts w:asciiTheme="majorHAnsi" w:hAnsiTheme="majorHAnsi"/>
          <w:sz w:val="22"/>
          <w:szCs w:val="22"/>
        </w:rPr>
        <w:t xml:space="preserve"> A recent randomized double blind placebo-control study, with 108 crohns patients, showed that supplementation of oral Vitamin D</w:t>
      </w:r>
      <w:r w:rsidRPr="00B276E7">
        <w:rPr>
          <w:rFonts w:asciiTheme="majorHAnsi" w:hAnsiTheme="majorHAnsi"/>
          <w:sz w:val="22"/>
          <w:szCs w:val="22"/>
          <w:vertAlign w:val="subscript"/>
        </w:rPr>
        <w:t>3</w:t>
      </w:r>
      <w:r w:rsidRPr="00B276E7">
        <w:rPr>
          <w:rFonts w:asciiTheme="majorHAnsi" w:hAnsiTheme="majorHAnsi"/>
          <w:sz w:val="22"/>
          <w:szCs w:val="22"/>
        </w:rPr>
        <w:t xml:space="preserve"> (1200 IU) led to significant improvement in the serum vitamin D levels in 3 months and reduced the risk of relapses (29% to 13%) compared to the placebo group, however this did not reach clinical significance. </w:t>
      </w:r>
      <w:r w:rsidRPr="00B276E7">
        <w:rPr>
          <w:rFonts w:asciiTheme="majorHAnsi" w:hAnsiTheme="majorHAnsi"/>
          <w:sz w:val="22"/>
          <w:szCs w:val="22"/>
          <w:vertAlign w:val="subscript"/>
        </w:rPr>
        <w:t>(10)</w:t>
      </w:r>
    </w:p>
    <w:p w:rsidR="009716A4" w:rsidRPr="00B276E7" w:rsidRDefault="009716A4" w:rsidP="009716A4">
      <w:pPr>
        <w:rPr>
          <w:rFonts w:asciiTheme="majorHAnsi" w:hAnsiTheme="majorHAnsi" w:cs="Times New Roman"/>
          <w:sz w:val="22"/>
          <w:szCs w:val="22"/>
        </w:rPr>
      </w:pPr>
      <w:r w:rsidRPr="00B276E7">
        <w:rPr>
          <w:rFonts w:asciiTheme="majorHAnsi" w:hAnsiTheme="majorHAnsi"/>
          <w:sz w:val="22"/>
          <w:szCs w:val="22"/>
        </w:rPr>
        <w:t>However, more data is required to make conclusions regarding the effect of vitamin D</w:t>
      </w:r>
      <w:r w:rsidRPr="00B276E7">
        <w:rPr>
          <w:rFonts w:asciiTheme="majorHAnsi" w:hAnsiTheme="majorHAnsi"/>
          <w:sz w:val="22"/>
          <w:szCs w:val="22"/>
          <w:vertAlign w:val="subscript"/>
        </w:rPr>
        <w:t>3</w:t>
      </w:r>
      <w:r w:rsidRPr="00B276E7">
        <w:rPr>
          <w:rFonts w:asciiTheme="majorHAnsi" w:hAnsiTheme="majorHAnsi"/>
          <w:sz w:val="22"/>
          <w:szCs w:val="22"/>
        </w:rPr>
        <w:t xml:space="preserve"> supplementation in patients with IBD. Furthermore, there is no clear consensus regarding the appropriate dose of vitamin D supplementation in IBD patients. </w:t>
      </w:r>
      <w:r w:rsidRPr="00B276E7">
        <w:rPr>
          <w:rFonts w:asciiTheme="majorHAnsi" w:hAnsiTheme="majorHAnsi"/>
          <w:sz w:val="22"/>
          <w:szCs w:val="22"/>
          <w:vertAlign w:val="subscript"/>
        </w:rPr>
        <w:t>(11)</w:t>
      </w:r>
    </w:p>
    <w:p w:rsidR="009716A4" w:rsidRPr="00B276E7" w:rsidRDefault="009716A4" w:rsidP="009716A4">
      <w:pPr>
        <w:rPr>
          <w:rFonts w:asciiTheme="majorHAnsi" w:hAnsiTheme="majorHAnsi" w:cs="Times New Roman"/>
          <w:sz w:val="22"/>
          <w:szCs w:val="22"/>
        </w:rPr>
      </w:pPr>
      <w:r w:rsidRPr="00B276E7">
        <w:rPr>
          <w:rStyle w:val="normalchar1"/>
          <w:rFonts w:asciiTheme="majorHAnsi" w:hAnsiTheme="majorHAnsi"/>
        </w:rPr>
        <w:t>Therefore, in this trial we propose to evaluate the effect of Vitamin D supplementation on IBD disease activity and to evaluate the optimal dose of this vitamin in IBD patients who are deficient.</w:t>
      </w:r>
    </w:p>
    <w:p w:rsidR="009716A4" w:rsidRPr="00B276E7" w:rsidRDefault="009716A4" w:rsidP="009716A4">
      <w:pPr>
        <w:rPr>
          <w:rFonts w:asciiTheme="majorHAnsi" w:hAnsiTheme="majorHAnsi" w:cs="Times New Roman"/>
          <w:b/>
          <w:bCs/>
          <w:sz w:val="22"/>
          <w:szCs w:val="22"/>
        </w:rPr>
      </w:pPr>
    </w:p>
    <w:p w:rsidR="009716A4" w:rsidRPr="00B276E7" w:rsidRDefault="009716A4" w:rsidP="009716A4">
      <w:pPr>
        <w:rPr>
          <w:rFonts w:asciiTheme="majorHAnsi" w:hAnsiTheme="majorHAnsi"/>
          <w:sz w:val="22"/>
          <w:szCs w:val="22"/>
        </w:rPr>
      </w:pPr>
      <w:r w:rsidRPr="00B276E7">
        <w:rPr>
          <w:rFonts w:asciiTheme="majorHAnsi" w:hAnsiTheme="majorHAnsi"/>
          <w:b/>
          <w:bCs/>
          <w:sz w:val="22"/>
          <w:szCs w:val="22"/>
        </w:rPr>
        <w:t>HYPOTHESIS:</w:t>
      </w:r>
      <w:r w:rsidRPr="00B276E7">
        <w:rPr>
          <w:rFonts w:asciiTheme="majorHAnsi" w:hAnsiTheme="majorHAnsi"/>
          <w:sz w:val="22"/>
          <w:szCs w:val="22"/>
        </w:rPr>
        <w:t xml:space="preserve"> Supplementation of vitamin D in IBD patients with hypovitaminosis D can improve their quality of life and decrease the IBD disease activity scores.</w:t>
      </w:r>
    </w:p>
    <w:p w:rsidR="009716A4" w:rsidRPr="00B276E7" w:rsidRDefault="009716A4" w:rsidP="009716A4">
      <w:pPr>
        <w:rPr>
          <w:rFonts w:asciiTheme="majorHAnsi" w:hAnsiTheme="majorHAnsi" w:cs="Times New Roman"/>
          <w:b/>
          <w:bCs/>
          <w:sz w:val="22"/>
          <w:szCs w:val="22"/>
        </w:rPr>
      </w:pPr>
    </w:p>
    <w:p w:rsidR="009716A4" w:rsidRPr="00B276E7" w:rsidRDefault="009716A4" w:rsidP="009716A4">
      <w:pPr>
        <w:rPr>
          <w:rFonts w:asciiTheme="majorHAnsi" w:hAnsiTheme="majorHAnsi" w:cs="Times New Roman"/>
          <w:b/>
          <w:bCs/>
          <w:sz w:val="22"/>
          <w:szCs w:val="22"/>
        </w:rPr>
      </w:pPr>
      <w:r w:rsidRPr="00B276E7">
        <w:rPr>
          <w:rFonts w:asciiTheme="majorHAnsi" w:hAnsiTheme="majorHAnsi"/>
          <w:b/>
          <w:bCs/>
          <w:sz w:val="22"/>
          <w:szCs w:val="22"/>
        </w:rPr>
        <w:t>OBJECTIVES</w:t>
      </w:r>
      <w:r w:rsidRPr="00B276E7">
        <w:rPr>
          <w:rFonts w:asciiTheme="majorHAnsi" w:hAnsiTheme="majorHAnsi"/>
          <w:sz w:val="22"/>
          <w:szCs w:val="22"/>
        </w:rPr>
        <w:t xml:space="preserve">: </w:t>
      </w:r>
    </w:p>
    <w:p w:rsidR="009716A4" w:rsidRPr="00B276E7" w:rsidRDefault="009716A4" w:rsidP="009716A4">
      <w:pPr>
        <w:ind w:firstLine="720"/>
        <w:rPr>
          <w:rFonts w:asciiTheme="majorHAnsi" w:hAnsiTheme="majorHAnsi"/>
          <w:sz w:val="22"/>
          <w:szCs w:val="22"/>
        </w:rPr>
      </w:pPr>
      <w:r w:rsidRPr="00B276E7">
        <w:rPr>
          <w:rFonts w:asciiTheme="majorHAnsi" w:hAnsiTheme="majorHAnsi"/>
          <w:b/>
          <w:bCs/>
          <w:sz w:val="22"/>
          <w:szCs w:val="22"/>
        </w:rPr>
        <w:t>1)</w:t>
      </w:r>
      <w:r w:rsidRPr="00B276E7">
        <w:rPr>
          <w:rFonts w:asciiTheme="majorHAnsi" w:hAnsiTheme="majorHAnsi"/>
          <w:sz w:val="22"/>
          <w:szCs w:val="22"/>
        </w:rPr>
        <w:t xml:space="preserve"> To determine the appropriate dose of vitamin D3 supplementation in patients with IBD and hypovitaminosis D.  </w:t>
      </w:r>
    </w:p>
    <w:p w:rsidR="009716A4" w:rsidRPr="00B276E7" w:rsidRDefault="009716A4" w:rsidP="009716A4">
      <w:pPr>
        <w:ind w:firstLine="720"/>
        <w:rPr>
          <w:rFonts w:asciiTheme="majorHAnsi" w:hAnsiTheme="majorHAnsi"/>
          <w:sz w:val="22"/>
          <w:szCs w:val="22"/>
        </w:rPr>
      </w:pPr>
      <w:r w:rsidRPr="00B276E7">
        <w:rPr>
          <w:rFonts w:asciiTheme="majorHAnsi" w:hAnsiTheme="majorHAnsi"/>
          <w:b/>
          <w:bCs/>
          <w:sz w:val="22"/>
          <w:szCs w:val="22"/>
        </w:rPr>
        <w:t xml:space="preserve">2) </w:t>
      </w:r>
      <w:r w:rsidRPr="00B276E7">
        <w:rPr>
          <w:rFonts w:asciiTheme="majorHAnsi" w:hAnsiTheme="majorHAnsi"/>
          <w:sz w:val="22"/>
          <w:szCs w:val="22"/>
        </w:rPr>
        <w:t>To assess the effect of vitamin D3 supplementation on the disease activity and quality of life in patients with IBD and hypovitaminosis D.</w:t>
      </w:r>
    </w:p>
    <w:p w:rsidR="009716A4" w:rsidRPr="00B276E7" w:rsidRDefault="009716A4" w:rsidP="009716A4">
      <w:pPr>
        <w:rPr>
          <w:rFonts w:asciiTheme="majorHAnsi" w:hAnsiTheme="majorHAnsi" w:cs="Times New Roman"/>
          <w:b/>
          <w:bCs/>
          <w:sz w:val="22"/>
          <w:szCs w:val="22"/>
        </w:rPr>
      </w:pPr>
    </w:p>
    <w:p w:rsidR="009716A4" w:rsidRPr="00B276E7" w:rsidRDefault="009716A4" w:rsidP="009716A4">
      <w:pPr>
        <w:rPr>
          <w:rFonts w:asciiTheme="majorHAnsi" w:hAnsiTheme="majorHAnsi"/>
          <w:sz w:val="22"/>
          <w:szCs w:val="22"/>
        </w:rPr>
      </w:pPr>
      <w:r w:rsidRPr="00B276E7">
        <w:rPr>
          <w:rFonts w:asciiTheme="majorHAnsi" w:hAnsiTheme="majorHAnsi"/>
          <w:b/>
          <w:bCs/>
          <w:sz w:val="22"/>
          <w:szCs w:val="22"/>
        </w:rPr>
        <w:t>DESIGN AND SETTING:</w:t>
      </w:r>
      <w:r w:rsidRPr="00B276E7">
        <w:rPr>
          <w:rFonts w:asciiTheme="majorHAnsi" w:hAnsiTheme="majorHAnsi"/>
          <w:sz w:val="22"/>
          <w:szCs w:val="22"/>
        </w:rPr>
        <w:t xml:space="preserve"> </w:t>
      </w:r>
    </w:p>
    <w:p w:rsidR="009716A4" w:rsidRPr="00B276E7" w:rsidRDefault="009716A4" w:rsidP="009716A4">
      <w:pPr>
        <w:rPr>
          <w:rFonts w:asciiTheme="majorHAnsi" w:hAnsiTheme="majorHAnsi"/>
          <w:sz w:val="22"/>
          <w:szCs w:val="22"/>
        </w:rPr>
      </w:pPr>
      <w:r w:rsidRPr="00B276E7">
        <w:rPr>
          <w:rFonts w:asciiTheme="majorHAnsi" w:hAnsiTheme="majorHAnsi"/>
          <w:sz w:val="22"/>
          <w:szCs w:val="22"/>
        </w:rPr>
        <w:t xml:space="preserve">This is a </w:t>
      </w:r>
      <w:r w:rsidRPr="00B276E7">
        <w:rPr>
          <w:rFonts w:asciiTheme="majorHAnsi" w:hAnsiTheme="majorHAnsi"/>
          <w:bCs/>
          <w:sz w:val="22"/>
          <w:szCs w:val="22"/>
        </w:rPr>
        <w:t>Prospective Randomized controlled trial</w:t>
      </w:r>
      <w:r w:rsidRPr="00B276E7">
        <w:rPr>
          <w:rFonts w:asciiTheme="majorHAnsi" w:hAnsiTheme="majorHAnsi"/>
          <w:sz w:val="22"/>
          <w:szCs w:val="22"/>
        </w:rPr>
        <w:t xml:space="preserve"> which will be conducted at the Derian Koligian ambulatory care center (ACC)</w:t>
      </w:r>
      <w:r w:rsidR="00DB5382" w:rsidRPr="00B276E7">
        <w:rPr>
          <w:rFonts w:asciiTheme="majorHAnsi" w:hAnsiTheme="majorHAnsi"/>
          <w:sz w:val="22"/>
          <w:szCs w:val="22"/>
        </w:rPr>
        <w:t>, the University medical Specialty centers for Gastroenterology and</w:t>
      </w:r>
      <w:r w:rsidRPr="00B276E7">
        <w:rPr>
          <w:rFonts w:asciiTheme="majorHAnsi" w:hAnsiTheme="majorHAnsi"/>
          <w:sz w:val="22"/>
          <w:szCs w:val="22"/>
        </w:rPr>
        <w:t xml:space="preserve"> Community regional Medical center (CRMC), Fresno, CA. The recruitment period will be for</w:t>
      </w:r>
      <w:r w:rsidR="002761E0" w:rsidRPr="00B276E7">
        <w:rPr>
          <w:rFonts w:asciiTheme="majorHAnsi" w:hAnsiTheme="majorHAnsi"/>
          <w:bCs/>
          <w:sz w:val="22"/>
          <w:szCs w:val="22"/>
        </w:rPr>
        <w:t xml:space="preserve"> the period of a year i.e. May</w:t>
      </w:r>
      <w:r w:rsidRPr="00B276E7">
        <w:rPr>
          <w:rFonts w:asciiTheme="majorHAnsi" w:hAnsiTheme="majorHAnsi"/>
          <w:bCs/>
          <w:sz w:val="22"/>
          <w:szCs w:val="22"/>
        </w:rPr>
        <w:t xml:space="preserve"> 2012-Aprill 2013</w:t>
      </w:r>
      <w:r w:rsidRPr="00B276E7">
        <w:rPr>
          <w:rFonts w:asciiTheme="majorHAnsi" w:hAnsiTheme="majorHAnsi"/>
          <w:sz w:val="22"/>
          <w:szCs w:val="22"/>
        </w:rPr>
        <w:t>. This is an interdepartmental study among the departments of Internal medicine, Endocrinology and Gastroenterology.</w:t>
      </w:r>
    </w:p>
    <w:p w:rsidR="009716A4" w:rsidRPr="00B276E7" w:rsidRDefault="009716A4" w:rsidP="009716A4">
      <w:pPr>
        <w:rPr>
          <w:rFonts w:asciiTheme="majorHAnsi" w:hAnsiTheme="majorHAnsi" w:cs="Times New Roman"/>
          <w:b/>
          <w:bCs/>
          <w:sz w:val="22"/>
          <w:szCs w:val="22"/>
        </w:rPr>
      </w:pPr>
    </w:p>
    <w:p w:rsidR="009716A4" w:rsidRPr="00B276E7" w:rsidRDefault="009716A4" w:rsidP="009716A4">
      <w:pPr>
        <w:rPr>
          <w:rFonts w:asciiTheme="majorHAnsi" w:hAnsiTheme="majorHAnsi" w:cs="Times New Roman"/>
          <w:sz w:val="22"/>
          <w:szCs w:val="22"/>
        </w:rPr>
      </w:pPr>
      <w:r w:rsidRPr="00B276E7">
        <w:rPr>
          <w:rFonts w:asciiTheme="majorHAnsi" w:hAnsiTheme="majorHAnsi"/>
          <w:b/>
          <w:bCs/>
          <w:sz w:val="22"/>
          <w:szCs w:val="22"/>
        </w:rPr>
        <w:t xml:space="preserve">INCLUSION: </w:t>
      </w:r>
    </w:p>
    <w:p w:rsidR="009716A4" w:rsidRPr="00B276E7" w:rsidRDefault="009716A4" w:rsidP="009716A4">
      <w:pPr>
        <w:rPr>
          <w:rFonts w:asciiTheme="majorHAnsi" w:hAnsiTheme="majorHAnsi"/>
          <w:sz w:val="22"/>
          <w:szCs w:val="22"/>
        </w:rPr>
      </w:pPr>
      <w:r w:rsidRPr="00B276E7">
        <w:rPr>
          <w:rFonts w:asciiTheme="majorHAnsi" w:hAnsiTheme="majorHAnsi"/>
          <w:sz w:val="22"/>
          <w:szCs w:val="22"/>
        </w:rPr>
        <w:t xml:space="preserve">Patients with IBD &gt; 18yrs of age, with 25(OH)D levels &lt;30ng/ml,  who can give written consent will be eligible for enrollment.  </w:t>
      </w:r>
    </w:p>
    <w:p w:rsidR="009716A4" w:rsidRPr="00B276E7" w:rsidRDefault="009716A4" w:rsidP="009716A4">
      <w:pPr>
        <w:rPr>
          <w:rFonts w:asciiTheme="majorHAnsi" w:hAnsiTheme="majorHAnsi" w:cs="Times New Roman"/>
          <w:b/>
          <w:bCs/>
          <w:sz w:val="22"/>
          <w:szCs w:val="22"/>
        </w:rPr>
      </w:pPr>
    </w:p>
    <w:p w:rsidR="009716A4" w:rsidRPr="00B276E7" w:rsidRDefault="009716A4" w:rsidP="009716A4">
      <w:pPr>
        <w:rPr>
          <w:rFonts w:asciiTheme="majorHAnsi" w:hAnsiTheme="majorHAnsi" w:cs="Times New Roman"/>
          <w:sz w:val="22"/>
          <w:szCs w:val="22"/>
        </w:rPr>
      </w:pPr>
      <w:r w:rsidRPr="00B276E7">
        <w:rPr>
          <w:rFonts w:asciiTheme="majorHAnsi" w:hAnsiTheme="majorHAnsi"/>
          <w:b/>
          <w:bCs/>
          <w:sz w:val="22"/>
          <w:szCs w:val="22"/>
        </w:rPr>
        <w:t xml:space="preserve">EXCLUSION: </w:t>
      </w:r>
    </w:p>
    <w:p w:rsidR="009716A4" w:rsidRPr="00B276E7" w:rsidRDefault="009716A4" w:rsidP="009716A4">
      <w:pPr>
        <w:pStyle w:val="ListParagraph"/>
        <w:numPr>
          <w:ilvl w:val="0"/>
          <w:numId w:val="1"/>
        </w:numPr>
        <w:rPr>
          <w:rFonts w:asciiTheme="majorHAnsi" w:hAnsiTheme="majorHAnsi"/>
          <w:sz w:val="22"/>
          <w:szCs w:val="22"/>
        </w:rPr>
      </w:pPr>
      <w:r w:rsidRPr="00B276E7">
        <w:rPr>
          <w:rFonts w:asciiTheme="majorHAnsi" w:hAnsiTheme="majorHAnsi"/>
          <w:sz w:val="22"/>
          <w:szCs w:val="22"/>
        </w:rPr>
        <w:t>Age &lt;18yrs</w:t>
      </w:r>
    </w:p>
    <w:p w:rsidR="009716A4" w:rsidRPr="00B276E7" w:rsidRDefault="009716A4" w:rsidP="009716A4">
      <w:pPr>
        <w:pStyle w:val="ListParagraph"/>
        <w:numPr>
          <w:ilvl w:val="0"/>
          <w:numId w:val="1"/>
        </w:numPr>
        <w:rPr>
          <w:rFonts w:asciiTheme="majorHAnsi" w:hAnsiTheme="majorHAnsi"/>
          <w:sz w:val="22"/>
          <w:szCs w:val="22"/>
        </w:rPr>
      </w:pPr>
      <w:r w:rsidRPr="00B276E7">
        <w:rPr>
          <w:rFonts w:asciiTheme="majorHAnsi" w:hAnsiTheme="majorHAnsi"/>
          <w:sz w:val="22"/>
          <w:szCs w:val="22"/>
        </w:rPr>
        <w:t>Pregnancy</w:t>
      </w:r>
    </w:p>
    <w:p w:rsidR="009716A4" w:rsidRPr="00B276E7" w:rsidRDefault="009716A4" w:rsidP="009716A4">
      <w:pPr>
        <w:pStyle w:val="ListParagraph"/>
        <w:numPr>
          <w:ilvl w:val="0"/>
          <w:numId w:val="1"/>
        </w:numPr>
        <w:rPr>
          <w:rFonts w:asciiTheme="majorHAnsi" w:hAnsiTheme="majorHAnsi"/>
          <w:sz w:val="22"/>
          <w:szCs w:val="22"/>
        </w:rPr>
      </w:pPr>
      <w:r w:rsidRPr="00B276E7">
        <w:rPr>
          <w:rFonts w:asciiTheme="majorHAnsi" w:hAnsiTheme="majorHAnsi"/>
          <w:sz w:val="22"/>
          <w:szCs w:val="22"/>
        </w:rPr>
        <w:t>Patients on Vitamin D supplementation &gt;2,000 IU/daily prior to study enrollment.</w:t>
      </w:r>
    </w:p>
    <w:p w:rsidR="009716A4" w:rsidRPr="00B276E7" w:rsidRDefault="009716A4" w:rsidP="009716A4">
      <w:pPr>
        <w:rPr>
          <w:rFonts w:asciiTheme="majorHAnsi" w:hAnsiTheme="majorHAnsi" w:cs="Times New Roman"/>
          <w:sz w:val="22"/>
          <w:szCs w:val="22"/>
        </w:rPr>
      </w:pPr>
    </w:p>
    <w:p w:rsidR="009716A4" w:rsidRPr="00B276E7" w:rsidRDefault="009716A4" w:rsidP="009716A4">
      <w:pPr>
        <w:rPr>
          <w:rFonts w:asciiTheme="majorHAnsi" w:hAnsiTheme="majorHAnsi"/>
          <w:b/>
          <w:bCs/>
          <w:sz w:val="22"/>
          <w:szCs w:val="22"/>
        </w:rPr>
      </w:pPr>
      <w:r w:rsidRPr="00B276E7">
        <w:rPr>
          <w:rFonts w:asciiTheme="majorHAnsi" w:hAnsiTheme="majorHAnsi"/>
          <w:b/>
          <w:bCs/>
          <w:sz w:val="22"/>
          <w:szCs w:val="22"/>
        </w:rPr>
        <w:t>METHODS:</w:t>
      </w:r>
    </w:p>
    <w:p w:rsidR="00626ECE" w:rsidRPr="00B276E7" w:rsidRDefault="00593A27" w:rsidP="009716A4">
      <w:pPr>
        <w:rPr>
          <w:rFonts w:asciiTheme="majorHAnsi" w:hAnsiTheme="majorHAnsi"/>
          <w:sz w:val="22"/>
          <w:szCs w:val="22"/>
        </w:rPr>
      </w:pPr>
      <w:r w:rsidRPr="00B276E7">
        <w:rPr>
          <w:rFonts w:asciiTheme="majorHAnsi" w:hAnsiTheme="majorHAnsi"/>
          <w:sz w:val="22"/>
          <w:szCs w:val="22"/>
        </w:rPr>
        <w:t xml:space="preserve">Patients </w:t>
      </w:r>
      <w:r w:rsidR="009716A4" w:rsidRPr="00B276E7">
        <w:rPr>
          <w:rFonts w:asciiTheme="majorHAnsi" w:hAnsiTheme="majorHAnsi"/>
          <w:sz w:val="22"/>
          <w:szCs w:val="22"/>
        </w:rPr>
        <w:t xml:space="preserve">with a history of inflammatory bowel disease (IBD) seen at the </w:t>
      </w:r>
      <w:r w:rsidR="00DB5382" w:rsidRPr="00B276E7">
        <w:rPr>
          <w:rFonts w:asciiTheme="majorHAnsi" w:hAnsiTheme="majorHAnsi"/>
          <w:sz w:val="22"/>
          <w:szCs w:val="22"/>
        </w:rPr>
        <w:t xml:space="preserve">at the Derian Koligian ambulatory care center (ACC), the University for Gastroenterology and </w:t>
      </w:r>
      <w:r w:rsidRPr="00B276E7">
        <w:rPr>
          <w:rFonts w:asciiTheme="majorHAnsi" w:hAnsiTheme="majorHAnsi"/>
          <w:sz w:val="22"/>
          <w:szCs w:val="22"/>
        </w:rPr>
        <w:t>Hepatology A</w:t>
      </w:r>
      <w:r w:rsidR="00094F0B" w:rsidRPr="00B276E7">
        <w:rPr>
          <w:rFonts w:asciiTheme="majorHAnsi" w:hAnsiTheme="majorHAnsi"/>
          <w:sz w:val="22"/>
          <w:szCs w:val="22"/>
        </w:rPr>
        <w:t xml:space="preserve">ssociates and at the </w:t>
      </w:r>
      <w:r w:rsidR="00626ECE" w:rsidRPr="00B276E7">
        <w:rPr>
          <w:rFonts w:asciiTheme="majorHAnsi" w:hAnsiTheme="majorHAnsi"/>
          <w:sz w:val="22"/>
          <w:szCs w:val="22"/>
        </w:rPr>
        <w:t>Community Regional Medical C</w:t>
      </w:r>
      <w:r w:rsidR="00DB5382" w:rsidRPr="00B276E7">
        <w:rPr>
          <w:rFonts w:asciiTheme="majorHAnsi" w:hAnsiTheme="majorHAnsi"/>
          <w:sz w:val="22"/>
          <w:szCs w:val="22"/>
        </w:rPr>
        <w:t xml:space="preserve">enter (CRMC), Fresno, CA </w:t>
      </w:r>
      <w:r w:rsidRPr="00B276E7">
        <w:rPr>
          <w:rFonts w:asciiTheme="majorHAnsi" w:hAnsiTheme="majorHAnsi"/>
          <w:sz w:val="22"/>
          <w:szCs w:val="22"/>
        </w:rPr>
        <w:t>from May</w:t>
      </w:r>
      <w:r w:rsidR="00626ECE" w:rsidRPr="00B276E7">
        <w:rPr>
          <w:rFonts w:asciiTheme="majorHAnsi" w:hAnsiTheme="majorHAnsi"/>
          <w:sz w:val="22"/>
          <w:szCs w:val="22"/>
        </w:rPr>
        <w:t xml:space="preserve"> 2012- April 2013 will</w:t>
      </w:r>
      <w:r w:rsidR="009716A4" w:rsidRPr="00B276E7">
        <w:rPr>
          <w:rFonts w:asciiTheme="majorHAnsi" w:hAnsiTheme="majorHAnsi"/>
          <w:sz w:val="22"/>
          <w:szCs w:val="22"/>
        </w:rPr>
        <w:t xml:space="preserve"> routinely get screened for vitamin D defic</w:t>
      </w:r>
      <w:r w:rsidRPr="00B276E7">
        <w:rPr>
          <w:rFonts w:asciiTheme="majorHAnsi" w:hAnsiTheme="majorHAnsi"/>
          <w:sz w:val="22"/>
          <w:szCs w:val="22"/>
        </w:rPr>
        <w:t>iency with a 25(OH) D level, as a standard of care</w:t>
      </w:r>
      <w:r w:rsidR="009716A4" w:rsidRPr="00B276E7">
        <w:rPr>
          <w:rFonts w:asciiTheme="majorHAnsi" w:hAnsiTheme="majorHAnsi"/>
          <w:sz w:val="22"/>
          <w:szCs w:val="22"/>
        </w:rPr>
        <w:t xml:space="preserve"> in these</w:t>
      </w:r>
      <w:r w:rsidR="00626ECE" w:rsidRPr="00B276E7">
        <w:rPr>
          <w:rFonts w:asciiTheme="majorHAnsi" w:hAnsiTheme="majorHAnsi"/>
          <w:sz w:val="22"/>
          <w:szCs w:val="22"/>
        </w:rPr>
        <w:t xml:space="preserve"> patients. Those patients </w:t>
      </w:r>
      <w:r w:rsidR="009716A4" w:rsidRPr="00B276E7">
        <w:rPr>
          <w:rFonts w:asciiTheme="majorHAnsi" w:hAnsiTheme="majorHAnsi"/>
          <w:sz w:val="22"/>
          <w:szCs w:val="22"/>
        </w:rPr>
        <w:t>with IBD and low vitamin D levels i.e. 25(OH)D levels &lt;30 ng/ml will be eligible for enrollment in this study.  The diagnosis of IBD will be confirmed either by a prior endoscopy, pathology, radiographic imaging or on the basis of IBD treatment. IBD patients already on vitamin D</w:t>
      </w:r>
      <w:r w:rsidR="009716A4" w:rsidRPr="00B276E7">
        <w:rPr>
          <w:rFonts w:asciiTheme="majorHAnsi" w:hAnsiTheme="majorHAnsi"/>
          <w:sz w:val="22"/>
          <w:szCs w:val="22"/>
          <w:vertAlign w:val="subscript"/>
        </w:rPr>
        <w:t>3</w:t>
      </w:r>
      <w:r w:rsidR="009716A4" w:rsidRPr="00B276E7">
        <w:rPr>
          <w:rFonts w:asciiTheme="majorHAnsi" w:hAnsiTheme="majorHAnsi"/>
          <w:sz w:val="22"/>
          <w:szCs w:val="22"/>
        </w:rPr>
        <w:t xml:space="preserve"> supplementation &gt;2,000IU per day will be excluded. </w:t>
      </w:r>
      <w:r w:rsidR="00626ECE" w:rsidRPr="00B276E7">
        <w:rPr>
          <w:rFonts w:asciiTheme="majorHAnsi" w:hAnsiTheme="majorHAnsi" w:cs="Tahoma"/>
          <w:sz w:val="22"/>
          <w:szCs w:val="22"/>
        </w:rPr>
        <w:t>Once identified, the IBD patients with low vitamin D levels will be referred to</w:t>
      </w:r>
      <w:r w:rsidR="00955333" w:rsidRPr="00B276E7">
        <w:rPr>
          <w:rFonts w:asciiTheme="majorHAnsi" w:hAnsiTheme="majorHAnsi" w:cs="Tahoma"/>
          <w:sz w:val="22"/>
          <w:szCs w:val="22"/>
        </w:rPr>
        <w:t xml:space="preserve"> the study sub-investigators or</w:t>
      </w:r>
      <w:r w:rsidR="00626ECE" w:rsidRPr="00B276E7">
        <w:rPr>
          <w:rFonts w:asciiTheme="majorHAnsi" w:hAnsiTheme="majorHAnsi" w:cs="Tahoma"/>
          <w:sz w:val="22"/>
          <w:szCs w:val="22"/>
        </w:rPr>
        <w:t xml:space="preserve"> the research coordinator for possible enrollment. A flyer will also be put up in these outpatient clinics to create awareness about the study. </w:t>
      </w:r>
      <w:r w:rsidR="00626ECE" w:rsidRPr="00B276E7">
        <w:rPr>
          <w:rFonts w:asciiTheme="majorHAnsi" w:hAnsiTheme="majorHAnsi"/>
          <w:sz w:val="22"/>
          <w:szCs w:val="22"/>
        </w:rPr>
        <w:t>All eligible patients need a written consent to participate in the study.</w:t>
      </w:r>
    </w:p>
    <w:p w:rsidR="0007045C" w:rsidRPr="00B276E7" w:rsidRDefault="0007045C" w:rsidP="0007045C">
      <w:pPr>
        <w:rPr>
          <w:rFonts w:asciiTheme="majorHAnsi" w:hAnsiTheme="majorHAnsi"/>
          <w:sz w:val="22"/>
          <w:szCs w:val="22"/>
        </w:rPr>
      </w:pPr>
    </w:p>
    <w:p w:rsidR="008C517A" w:rsidRPr="00B276E7" w:rsidRDefault="00626ECE" w:rsidP="0007045C">
      <w:pPr>
        <w:rPr>
          <w:rFonts w:asciiTheme="majorHAnsi" w:hAnsiTheme="majorHAnsi"/>
          <w:sz w:val="22"/>
          <w:szCs w:val="22"/>
        </w:rPr>
      </w:pPr>
      <w:r w:rsidRPr="00B276E7">
        <w:rPr>
          <w:rFonts w:asciiTheme="majorHAnsi" w:hAnsiTheme="majorHAnsi"/>
          <w:sz w:val="22"/>
          <w:szCs w:val="22"/>
        </w:rPr>
        <w:t>A</w:t>
      </w:r>
      <w:r w:rsidR="009716A4" w:rsidRPr="00B276E7">
        <w:rPr>
          <w:rFonts w:asciiTheme="majorHAnsi" w:hAnsiTheme="majorHAnsi"/>
          <w:sz w:val="22"/>
          <w:szCs w:val="22"/>
        </w:rPr>
        <w:t xml:space="preserve"> </w:t>
      </w:r>
      <w:r w:rsidR="009716A4" w:rsidRPr="00B276E7">
        <w:rPr>
          <w:rStyle w:val="normalchar1"/>
          <w:rFonts w:asciiTheme="majorHAnsi" w:hAnsiTheme="majorHAnsi"/>
          <w:bCs/>
        </w:rPr>
        <w:t>trained</w:t>
      </w:r>
      <w:r w:rsidR="009716A4" w:rsidRPr="00B276E7">
        <w:rPr>
          <w:rFonts w:asciiTheme="majorHAnsi" w:hAnsiTheme="majorHAnsi"/>
          <w:bCs/>
          <w:sz w:val="22"/>
          <w:szCs w:val="22"/>
        </w:rPr>
        <w:t xml:space="preserve"> research coordinator</w:t>
      </w:r>
      <w:r w:rsidR="00955333" w:rsidRPr="00B276E7">
        <w:rPr>
          <w:rFonts w:asciiTheme="majorHAnsi" w:hAnsiTheme="majorHAnsi"/>
          <w:sz w:val="22"/>
          <w:szCs w:val="22"/>
        </w:rPr>
        <w:t xml:space="preserve"> </w:t>
      </w:r>
      <w:r w:rsidR="009716A4" w:rsidRPr="00B276E7">
        <w:rPr>
          <w:rFonts w:asciiTheme="majorHAnsi" w:hAnsiTheme="majorHAnsi"/>
          <w:sz w:val="22"/>
          <w:szCs w:val="22"/>
        </w:rPr>
        <w:t xml:space="preserve">will be informed of potential IBD patients </w:t>
      </w:r>
      <w:r w:rsidR="00955333" w:rsidRPr="00B276E7">
        <w:rPr>
          <w:rFonts w:asciiTheme="majorHAnsi" w:hAnsiTheme="majorHAnsi"/>
          <w:sz w:val="22"/>
          <w:szCs w:val="22"/>
        </w:rPr>
        <w:t>eligible fo</w:t>
      </w:r>
      <w:r w:rsidR="00F017D4" w:rsidRPr="00B276E7">
        <w:rPr>
          <w:rFonts w:asciiTheme="majorHAnsi" w:hAnsiTheme="majorHAnsi"/>
          <w:sz w:val="22"/>
          <w:szCs w:val="22"/>
        </w:rPr>
        <w:t>r enrollment coming to</w:t>
      </w:r>
      <w:r w:rsidR="00517CE5" w:rsidRPr="00B276E7">
        <w:rPr>
          <w:rFonts w:asciiTheme="majorHAnsi" w:hAnsiTheme="majorHAnsi"/>
          <w:sz w:val="22"/>
          <w:szCs w:val="22"/>
        </w:rPr>
        <w:t xml:space="preserve"> the ACC clinic,</w:t>
      </w:r>
      <w:r w:rsidR="00955333" w:rsidRPr="00B276E7">
        <w:rPr>
          <w:rFonts w:asciiTheme="majorHAnsi" w:hAnsiTheme="majorHAnsi"/>
          <w:sz w:val="22"/>
          <w:szCs w:val="22"/>
        </w:rPr>
        <w:t xml:space="preserve"> University of Gastroenterology and Hepatology Associ</w:t>
      </w:r>
      <w:r w:rsidR="00517CE5" w:rsidRPr="00B276E7">
        <w:rPr>
          <w:rFonts w:asciiTheme="majorHAnsi" w:hAnsiTheme="majorHAnsi"/>
          <w:sz w:val="22"/>
          <w:szCs w:val="22"/>
        </w:rPr>
        <w:t>ate clinic and the</w:t>
      </w:r>
      <w:r w:rsidR="00955333" w:rsidRPr="00B276E7">
        <w:rPr>
          <w:rFonts w:asciiTheme="majorHAnsi" w:hAnsiTheme="majorHAnsi"/>
          <w:sz w:val="22"/>
          <w:szCs w:val="22"/>
        </w:rPr>
        <w:t xml:space="preserve"> CRMC </w:t>
      </w:r>
      <w:r w:rsidR="00F017D4" w:rsidRPr="00B276E7">
        <w:rPr>
          <w:rFonts w:asciiTheme="majorHAnsi" w:hAnsiTheme="majorHAnsi"/>
          <w:sz w:val="22"/>
          <w:szCs w:val="22"/>
        </w:rPr>
        <w:t xml:space="preserve">hospital either </w:t>
      </w:r>
      <w:r w:rsidR="009716A4" w:rsidRPr="00B276E7">
        <w:rPr>
          <w:rFonts w:asciiTheme="majorHAnsi" w:hAnsiTheme="majorHAnsi"/>
          <w:sz w:val="22"/>
          <w:szCs w:val="22"/>
        </w:rPr>
        <w:t xml:space="preserve">by the </w:t>
      </w:r>
      <w:r w:rsidR="00F017D4" w:rsidRPr="00B276E7">
        <w:rPr>
          <w:rFonts w:asciiTheme="majorHAnsi" w:hAnsiTheme="majorHAnsi"/>
          <w:sz w:val="22"/>
          <w:szCs w:val="22"/>
        </w:rPr>
        <w:t xml:space="preserve">gastroenterology clinic doctors or fellows or </w:t>
      </w:r>
      <w:r w:rsidR="00955333" w:rsidRPr="00B276E7">
        <w:rPr>
          <w:rFonts w:asciiTheme="majorHAnsi" w:hAnsiTheme="majorHAnsi"/>
          <w:sz w:val="22"/>
          <w:szCs w:val="22"/>
        </w:rPr>
        <w:t>the</w:t>
      </w:r>
      <w:r w:rsidR="00F017D4" w:rsidRPr="00B276E7">
        <w:rPr>
          <w:rFonts w:asciiTheme="majorHAnsi" w:hAnsiTheme="majorHAnsi"/>
          <w:sz w:val="22"/>
          <w:szCs w:val="22"/>
        </w:rPr>
        <w:t xml:space="preserve"> study</w:t>
      </w:r>
      <w:r w:rsidR="00955333" w:rsidRPr="00B276E7">
        <w:rPr>
          <w:rFonts w:asciiTheme="majorHAnsi" w:hAnsiTheme="majorHAnsi"/>
          <w:sz w:val="22"/>
          <w:szCs w:val="22"/>
        </w:rPr>
        <w:t xml:space="preserve"> </w:t>
      </w:r>
      <w:r w:rsidR="009716A4" w:rsidRPr="00B276E7">
        <w:rPr>
          <w:rFonts w:asciiTheme="majorHAnsi" w:hAnsiTheme="majorHAnsi"/>
          <w:sz w:val="22"/>
          <w:szCs w:val="22"/>
        </w:rPr>
        <w:t>investigators</w:t>
      </w:r>
      <w:r w:rsidR="00F017D4" w:rsidRPr="00B276E7">
        <w:rPr>
          <w:rFonts w:asciiTheme="majorHAnsi" w:hAnsiTheme="majorHAnsi"/>
          <w:sz w:val="22"/>
          <w:szCs w:val="22"/>
        </w:rPr>
        <w:t xml:space="preserve"> and potential patients will also be identified</w:t>
      </w:r>
      <w:r w:rsidR="009716A4" w:rsidRPr="00B276E7">
        <w:rPr>
          <w:rFonts w:asciiTheme="majorHAnsi" w:hAnsiTheme="majorHAnsi"/>
          <w:sz w:val="22"/>
          <w:szCs w:val="22"/>
        </w:rPr>
        <w:t xml:space="preserve"> by screening the </w:t>
      </w:r>
      <w:r w:rsidR="00F017D4" w:rsidRPr="00B276E7">
        <w:rPr>
          <w:rFonts w:asciiTheme="majorHAnsi" w:hAnsiTheme="majorHAnsi"/>
          <w:sz w:val="22"/>
          <w:szCs w:val="22"/>
        </w:rPr>
        <w:t xml:space="preserve">outpatient </w:t>
      </w:r>
      <w:r w:rsidR="009716A4" w:rsidRPr="00B276E7">
        <w:rPr>
          <w:rFonts w:asciiTheme="majorHAnsi" w:hAnsiTheme="majorHAnsi"/>
          <w:sz w:val="22"/>
          <w:szCs w:val="22"/>
        </w:rPr>
        <w:t>gastrointestinal (GI) clinic schedules</w:t>
      </w:r>
      <w:r w:rsidR="00F017D4" w:rsidRPr="00B276E7">
        <w:rPr>
          <w:rFonts w:asciiTheme="majorHAnsi" w:hAnsiTheme="majorHAnsi"/>
          <w:sz w:val="22"/>
          <w:szCs w:val="22"/>
        </w:rPr>
        <w:t xml:space="preserve"> at the ACC</w:t>
      </w:r>
      <w:r w:rsidRPr="00B276E7">
        <w:rPr>
          <w:rFonts w:asciiTheme="majorHAnsi" w:hAnsiTheme="majorHAnsi"/>
          <w:sz w:val="22"/>
          <w:szCs w:val="22"/>
        </w:rPr>
        <w:t xml:space="preserve"> </w:t>
      </w:r>
      <w:r w:rsidR="00955333" w:rsidRPr="00B276E7">
        <w:rPr>
          <w:rFonts w:asciiTheme="majorHAnsi" w:hAnsiTheme="majorHAnsi"/>
          <w:sz w:val="22"/>
          <w:szCs w:val="22"/>
        </w:rPr>
        <w:t>for potential IBD patients</w:t>
      </w:r>
      <w:r w:rsidR="009716A4" w:rsidRPr="00B276E7">
        <w:rPr>
          <w:rFonts w:asciiTheme="majorHAnsi" w:hAnsiTheme="majorHAnsi"/>
          <w:sz w:val="22"/>
          <w:szCs w:val="22"/>
        </w:rPr>
        <w:t xml:space="preserve">.  The research coordinator </w:t>
      </w:r>
      <w:r w:rsidR="00F017D4" w:rsidRPr="00B276E7">
        <w:rPr>
          <w:rFonts w:asciiTheme="majorHAnsi" w:hAnsiTheme="majorHAnsi"/>
          <w:sz w:val="22"/>
          <w:szCs w:val="22"/>
        </w:rPr>
        <w:t>once informed</w:t>
      </w:r>
      <w:r w:rsidR="00955333" w:rsidRPr="00B276E7">
        <w:rPr>
          <w:rFonts w:asciiTheme="majorHAnsi" w:hAnsiTheme="majorHAnsi"/>
          <w:sz w:val="22"/>
          <w:szCs w:val="22"/>
        </w:rPr>
        <w:t xml:space="preserve"> </w:t>
      </w:r>
      <w:r w:rsidR="00F017D4" w:rsidRPr="00B276E7">
        <w:rPr>
          <w:rFonts w:asciiTheme="majorHAnsi" w:hAnsiTheme="majorHAnsi"/>
          <w:sz w:val="22"/>
          <w:szCs w:val="22"/>
        </w:rPr>
        <w:t xml:space="preserve">about a potential </w:t>
      </w:r>
      <w:r w:rsidR="00DB5F31" w:rsidRPr="00B276E7">
        <w:rPr>
          <w:rFonts w:asciiTheme="majorHAnsi" w:hAnsiTheme="majorHAnsi"/>
          <w:sz w:val="22"/>
          <w:szCs w:val="22"/>
        </w:rPr>
        <w:t xml:space="preserve">IBD patient with hypovitaminosis D, </w:t>
      </w:r>
      <w:r w:rsidR="009716A4" w:rsidRPr="00B276E7">
        <w:rPr>
          <w:rFonts w:asciiTheme="majorHAnsi" w:hAnsiTheme="majorHAnsi"/>
          <w:sz w:val="22"/>
          <w:szCs w:val="22"/>
        </w:rPr>
        <w:t>will</w:t>
      </w:r>
      <w:r w:rsidR="00955333" w:rsidRPr="00B276E7">
        <w:rPr>
          <w:rFonts w:asciiTheme="majorHAnsi" w:hAnsiTheme="majorHAnsi"/>
          <w:sz w:val="22"/>
          <w:szCs w:val="22"/>
        </w:rPr>
        <w:t xml:space="preserve"> </w:t>
      </w:r>
      <w:r w:rsidR="00F017D4" w:rsidRPr="00B276E7">
        <w:rPr>
          <w:rFonts w:asciiTheme="majorHAnsi" w:hAnsiTheme="majorHAnsi"/>
          <w:sz w:val="22"/>
          <w:szCs w:val="22"/>
        </w:rPr>
        <w:t xml:space="preserve">screen </w:t>
      </w:r>
      <w:r w:rsidR="00DB5F31" w:rsidRPr="00B276E7">
        <w:rPr>
          <w:rFonts w:asciiTheme="majorHAnsi" w:hAnsiTheme="majorHAnsi"/>
          <w:sz w:val="22"/>
          <w:szCs w:val="22"/>
        </w:rPr>
        <w:t xml:space="preserve">and then </w:t>
      </w:r>
      <w:r w:rsidR="00955333" w:rsidRPr="00B276E7">
        <w:rPr>
          <w:rFonts w:asciiTheme="majorHAnsi" w:hAnsiTheme="majorHAnsi"/>
          <w:sz w:val="22"/>
          <w:szCs w:val="22"/>
        </w:rPr>
        <w:t xml:space="preserve">contact </w:t>
      </w:r>
      <w:r w:rsidR="00DB5F31" w:rsidRPr="00B276E7">
        <w:rPr>
          <w:rFonts w:asciiTheme="majorHAnsi" w:hAnsiTheme="majorHAnsi"/>
          <w:sz w:val="22"/>
          <w:szCs w:val="22"/>
        </w:rPr>
        <w:t xml:space="preserve">these </w:t>
      </w:r>
      <w:r w:rsidR="00955333" w:rsidRPr="00B276E7">
        <w:rPr>
          <w:rFonts w:asciiTheme="majorHAnsi" w:hAnsiTheme="majorHAnsi"/>
          <w:sz w:val="22"/>
          <w:szCs w:val="22"/>
        </w:rPr>
        <w:t xml:space="preserve">eligible </w:t>
      </w:r>
      <w:r w:rsidR="00DB5F31" w:rsidRPr="00B276E7">
        <w:rPr>
          <w:rFonts w:asciiTheme="majorHAnsi" w:hAnsiTheme="majorHAnsi"/>
          <w:sz w:val="22"/>
          <w:szCs w:val="22"/>
        </w:rPr>
        <w:t xml:space="preserve">IBD </w:t>
      </w:r>
      <w:r w:rsidR="00955333" w:rsidRPr="00B276E7">
        <w:rPr>
          <w:rFonts w:asciiTheme="majorHAnsi" w:hAnsiTheme="majorHAnsi"/>
          <w:sz w:val="22"/>
          <w:szCs w:val="22"/>
        </w:rPr>
        <w:t xml:space="preserve">patients </w:t>
      </w:r>
      <w:r w:rsidR="00DB5F31" w:rsidRPr="00B276E7">
        <w:rPr>
          <w:rFonts w:asciiTheme="majorHAnsi" w:hAnsiTheme="majorHAnsi"/>
          <w:sz w:val="22"/>
          <w:szCs w:val="22"/>
        </w:rPr>
        <w:t>to ask if they</w:t>
      </w:r>
      <w:r w:rsidR="00955333" w:rsidRPr="00B276E7">
        <w:rPr>
          <w:rFonts w:asciiTheme="majorHAnsi" w:hAnsiTheme="majorHAnsi"/>
          <w:sz w:val="22"/>
          <w:szCs w:val="22"/>
        </w:rPr>
        <w:t xml:space="preserve"> are willing to take part in the study</w:t>
      </w:r>
      <w:r w:rsidR="00DB5F31" w:rsidRPr="00B276E7">
        <w:rPr>
          <w:rFonts w:asciiTheme="majorHAnsi" w:hAnsiTheme="majorHAnsi"/>
          <w:sz w:val="22"/>
          <w:szCs w:val="22"/>
        </w:rPr>
        <w:t>. I</w:t>
      </w:r>
      <w:r w:rsidR="003E7E3E" w:rsidRPr="00B276E7">
        <w:rPr>
          <w:rFonts w:asciiTheme="majorHAnsi" w:hAnsiTheme="majorHAnsi"/>
          <w:sz w:val="22"/>
          <w:szCs w:val="22"/>
        </w:rPr>
        <w:t xml:space="preserve">f the patient is agreeable to </w:t>
      </w:r>
      <w:r w:rsidR="00DB5F31" w:rsidRPr="00B276E7">
        <w:rPr>
          <w:rFonts w:asciiTheme="majorHAnsi" w:hAnsiTheme="majorHAnsi"/>
          <w:sz w:val="22"/>
          <w:szCs w:val="22"/>
        </w:rPr>
        <w:t>be a part of the study, the</w:t>
      </w:r>
      <w:r w:rsidR="003E7E3E" w:rsidRPr="00B276E7">
        <w:rPr>
          <w:rFonts w:asciiTheme="majorHAnsi" w:hAnsiTheme="majorHAnsi"/>
          <w:sz w:val="22"/>
          <w:szCs w:val="22"/>
        </w:rPr>
        <w:t xml:space="preserve"> research coordinator</w:t>
      </w:r>
      <w:r w:rsidR="00DB5F31" w:rsidRPr="00B276E7">
        <w:rPr>
          <w:rFonts w:asciiTheme="majorHAnsi" w:hAnsiTheme="majorHAnsi"/>
          <w:sz w:val="22"/>
          <w:szCs w:val="22"/>
        </w:rPr>
        <w:t xml:space="preserve"> </w:t>
      </w:r>
      <w:r w:rsidR="00955333" w:rsidRPr="00B276E7">
        <w:rPr>
          <w:rFonts w:asciiTheme="majorHAnsi" w:hAnsiTheme="majorHAnsi"/>
          <w:sz w:val="22"/>
          <w:szCs w:val="22"/>
        </w:rPr>
        <w:t xml:space="preserve">will </w:t>
      </w:r>
      <w:r w:rsidR="00DB5F31" w:rsidRPr="00B276E7">
        <w:rPr>
          <w:rFonts w:asciiTheme="majorHAnsi" w:hAnsiTheme="majorHAnsi"/>
          <w:sz w:val="22"/>
          <w:szCs w:val="22"/>
        </w:rPr>
        <w:t>ask</w:t>
      </w:r>
      <w:r w:rsidR="003E7E3E" w:rsidRPr="00B276E7">
        <w:rPr>
          <w:rFonts w:asciiTheme="majorHAnsi" w:hAnsiTheme="majorHAnsi"/>
          <w:sz w:val="22"/>
          <w:szCs w:val="22"/>
        </w:rPr>
        <w:t xml:space="preserve"> them</w:t>
      </w:r>
      <w:r w:rsidR="00DB5F31" w:rsidRPr="00B276E7">
        <w:rPr>
          <w:rFonts w:asciiTheme="majorHAnsi" w:hAnsiTheme="majorHAnsi"/>
          <w:sz w:val="22"/>
          <w:szCs w:val="22"/>
        </w:rPr>
        <w:t xml:space="preserve"> to come to the ACC clinic</w:t>
      </w:r>
      <w:r w:rsidR="003E7E3E" w:rsidRPr="00B276E7">
        <w:rPr>
          <w:rFonts w:asciiTheme="majorHAnsi" w:hAnsiTheme="majorHAnsi"/>
          <w:sz w:val="22"/>
          <w:szCs w:val="22"/>
        </w:rPr>
        <w:t xml:space="preserve"> to </w:t>
      </w:r>
      <w:r w:rsidR="00DB5F31" w:rsidRPr="00B276E7">
        <w:rPr>
          <w:rFonts w:asciiTheme="majorHAnsi" w:hAnsiTheme="majorHAnsi"/>
          <w:sz w:val="22"/>
          <w:szCs w:val="22"/>
        </w:rPr>
        <w:t xml:space="preserve">consent, </w:t>
      </w:r>
      <w:r w:rsidR="003E7E3E" w:rsidRPr="00B276E7">
        <w:rPr>
          <w:rFonts w:asciiTheme="majorHAnsi" w:hAnsiTheme="majorHAnsi"/>
          <w:sz w:val="22"/>
          <w:szCs w:val="22"/>
        </w:rPr>
        <w:t>complete a data collection form, a</w:t>
      </w:r>
      <w:r w:rsidR="008C517A" w:rsidRPr="00B276E7">
        <w:rPr>
          <w:rFonts w:asciiTheme="majorHAnsi" w:hAnsiTheme="majorHAnsi"/>
          <w:sz w:val="22"/>
          <w:szCs w:val="22"/>
        </w:rPr>
        <w:t xml:space="preserve">nd get blood work. The </w:t>
      </w:r>
      <w:r w:rsidR="003E7E3E" w:rsidRPr="00B276E7">
        <w:rPr>
          <w:rFonts w:asciiTheme="majorHAnsi" w:hAnsiTheme="majorHAnsi"/>
          <w:sz w:val="22"/>
          <w:szCs w:val="22"/>
        </w:rPr>
        <w:t>investigators will th</w:t>
      </w:r>
      <w:r w:rsidR="008C517A" w:rsidRPr="00B276E7">
        <w:rPr>
          <w:rFonts w:asciiTheme="majorHAnsi" w:hAnsiTheme="majorHAnsi"/>
          <w:sz w:val="22"/>
          <w:szCs w:val="22"/>
        </w:rPr>
        <w:t>en ask the enrolled subject to fill out 2 questionnaires- one for the IBD activity score</w:t>
      </w:r>
      <w:r w:rsidR="003E7E3E" w:rsidRPr="00B276E7">
        <w:rPr>
          <w:rFonts w:asciiTheme="majorHAnsi" w:hAnsiTheme="majorHAnsi"/>
          <w:sz w:val="22"/>
          <w:szCs w:val="22"/>
        </w:rPr>
        <w:t xml:space="preserve"> </w:t>
      </w:r>
      <w:r w:rsidR="009716A4" w:rsidRPr="00B276E7">
        <w:rPr>
          <w:rFonts w:asciiTheme="majorHAnsi" w:hAnsiTheme="majorHAnsi"/>
          <w:sz w:val="22"/>
          <w:szCs w:val="22"/>
        </w:rPr>
        <w:t xml:space="preserve">and </w:t>
      </w:r>
      <w:r w:rsidR="009E2D21" w:rsidRPr="00B276E7">
        <w:rPr>
          <w:rFonts w:asciiTheme="majorHAnsi" w:hAnsiTheme="majorHAnsi"/>
          <w:sz w:val="22"/>
          <w:szCs w:val="22"/>
        </w:rPr>
        <w:t xml:space="preserve">another will be for </w:t>
      </w:r>
      <w:r w:rsidR="008C517A" w:rsidRPr="00B276E7">
        <w:rPr>
          <w:rFonts w:asciiTheme="majorHAnsi" w:hAnsiTheme="majorHAnsi"/>
          <w:sz w:val="22"/>
          <w:szCs w:val="22"/>
        </w:rPr>
        <w:t>quality of life</w:t>
      </w:r>
      <w:r w:rsidR="009E2D21" w:rsidRPr="00B276E7">
        <w:rPr>
          <w:rFonts w:asciiTheme="majorHAnsi" w:hAnsiTheme="majorHAnsi"/>
          <w:sz w:val="22"/>
          <w:szCs w:val="22"/>
        </w:rPr>
        <w:t>. The investigators at the time of enrollment will also</w:t>
      </w:r>
      <w:r w:rsidR="008C517A" w:rsidRPr="00B276E7">
        <w:rPr>
          <w:rFonts w:asciiTheme="majorHAnsi" w:hAnsiTheme="majorHAnsi"/>
          <w:sz w:val="22"/>
          <w:szCs w:val="22"/>
        </w:rPr>
        <w:t xml:space="preserve"> dispense</w:t>
      </w:r>
      <w:r w:rsidR="009E2D21" w:rsidRPr="00B276E7">
        <w:rPr>
          <w:rFonts w:asciiTheme="majorHAnsi" w:hAnsiTheme="majorHAnsi"/>
          <w:sz w:val="22"/>
          <w:szCs w:val="22"/>
        </w:rPr>
        <w:t xml:space="preserve"> prepackaged</w:t>
      </w:r>
      <w:r w:rsidR="009716A4" w:rsidRPr="00B276E7">
        <w:rPr>
          <w:rFonts w:asciiTheme="majorHAnsi" w:hAnsiTheme="majorHAnsi"/>
          <w:sz w:val="22"/>
          <w:szCs w:val="22"/>
        </w:rPr>
        <w:t xml:space="preserve"> vitamin D</w:t>
      </w:r>
      <w:r w:rsidR="009716A4" w:rsidRPr="00B276E7">
        <w:rPr>
          <w:rFonts w:asciiTheme="majorHAnsi" w:hAnsiTheme="majorHAnsi"/>
          <w:sz w:val="22"/>
          <w:szCs w:val="22"/>
          <w:vertAlign w:val="subscript"/>
        </w:rPr>
        <w:t>3</w:t>
      </w:r>
      <w:r w:rsidR="009E2D21" w:rsidRPr="00B276E7">
        <w:rPr>
          <w:rFonts w:asciiTheme="majorHAnsi" w:hAnsiTheme="majorHAnsi"/>
          <w:sz w:val="22"/>
          <w:szCs w:val="22"/>
        </w:rPr>
        <w:t xml:space="preserve"> supplement</w:t>
      </w:r>
      <w:r w:rsidR="009716A4" w:rsidRPr="00B276E7">
        <w:rPr>
          <w:rFonts w:asciiTheme="majorHAnsi" w:hAnsiTheme="majorHAnsi"/>
          <w:sz w:val="22"/>
          <w:szCs w:val="22"/>
        </w:rPr>
        <w:t xml:space="preserve">s. </w:t>
      </w:r>
    </w:p>
    <w:p w:rsidR="008C517A" w:rsidRPr="00B276E7" w:rsidRDefault="0007045C" w:rsidP="009716A4">
      <w:pPr>
        <w:rPr>
          <w:rStyle w:val="normalchar1"/>
        </w:rPr>
      </w:pPr>
      <w:r w:rsidRPr="00B276E7">
        <w:rPr>
          <w:rStyle w:val="normalchar1"/>
          <w:rFonts w:asciiTheme="majorHAnsi" w:hAnsiTheme="majorHAnsi"/>
        </w:rPr>
        <w:t xml:space="preserve">A total of </w:t>
      </w:r>
      <w:r w:rsidR="009716A4" w:rsidRPr="00B276E7">
        <w:rPr>
          <w:rStyle w:val="normalchar1"/>
          <w:rFonts w:asciiTheme="majorHAnsi" w:hAnsiTheme="majorHAnsi"/>
        </w:rPr>
        <w:t>30 patient</w:t>
      </w:r>
      <w:r w:rsidR="008C517A" w:rsidRPr="00B276E7">
        <w:rPr>
          <w:rStyle w:val="normalchar1"/>
          <w:rFonts w:asciiTheme="majorHAnsi" w:hAnsiTheme="majorHAnsi"/>
        </w:rPr>
        <w:t>s will be</w:t>
      </w:r>
      <w:r w:rsidR="009716A4" w:rsidRPr="00B276E7">
        <w:rPr>
          <w:rStyle w:val="normalchar1"/>
          <w:rFonts w:asciiTheme="majorHAnsi" w:hAnsiTheme="majorHAnsi"/>
        </w:rPr>
        <w:t xml:space="preserve"> in</w:t>
      </w:r>
      <w:r w:rsidR="008C517A" w:rsidRPr="00B276E7">
        <w:rPr>
          <w:rStyle w:val="normalchar1"/>
          <w:rFonts w:asciiTheme="majorHAnsi" w:hAnsiTheme="majorHAnsi"/>
        </w:rPr>
        <w:t>cluded in</w:t>
      </w:r>
      <w:r w:rsidR="009716A4" w:rsidRPr="00B276E7">
        <w:rPr>
          <w:rStyle w:val="normalchar1"/>
          <w:rFonts w:asciiTheme="majorHAnsi" w:hAnsiTheme="majorHAnsi"/>
        </w:rPr>
        <w:t xml:space="preserve"> this study during the one-year study period. </w:t>
      </w:r>
      <w:r w:rsidR="007E7BF4" w:rsidRPr="00B276E7">
        <w:rPr>
          <w:rStyle w:val="normalchar1"/>
          <w:rFonts w:asciiTheme="majorHAnsi" w:hAnsiTheme="majorHAnsi"/>
        </w:rPr>
        <w:t>The enrolled</w:t>
      </w:r>
      <w:r w:rsidR="009716A4" w:rsidRPr="00B276E7">
        <w:rPr>
          <w:rStyle w:val="normalchar1"/>
          <w:rFonts w:asciiTheme="majorHAnsi" w:hAnsiTheme="majorHAnsi"/>
        </w:rPr>
        <w:t xml:space="preserve"> patients will be randomized using a permuted-block randomization procedure to insure equal sample sizes into the two </w:t>
      </w:r>
      <w:r w:rsidR="007E7BF4" w:rsidRPr="00B276E7">
        <w:rPr>
          <w:rStyle w:val="normalchar1"/>
          <w:rFonts w:asciiTheme="majorHAnsi" w:hAnsiTheme="majorHAnsi"/>
        </w:rPr>
        <w:t>vitamin D</w:t>
      </w:r>
      <w:r w:rsidR="007E7BF4" w:rsidRPr="00B276E7">
        <w:rPr>
          <w:rStyle w:val="normalchar1"/>
          <w:rFonts w:asciiTheme="majorHAnsi" w:hAnsiTheme="majorHAnsi"/>
          <w:vertAlign w:val="subscript"/>
        </w:rPr>
        <w:t>3</w:t>
      </w:r>
      <w:r w:rsidR="007E7BF4" w:rsidRPr="00B276E7">
        <w:rPr>
          <w:rStyle w:val="normalchar1"/>
          <w:rFonts w:asciiTheme="majorHAnsi" w:hAnsiTheme="majorHAnsi"/>
        </w:rPr>
        <w:t xml:space="preserve"> </w:t>
      </w:r>
      <w:r w:rsidR="009716A4" w:rsidRPr="00B276E7">
        <w:rPr>
          <w:rStyle w:val="normalchar1"/>
          <w:rFonts w:asciiTheme="majorHAnsi" w:hAnsiTheme="majorHAnsi"/>
        </w:rPr>
        <w:t xml:space="preserve">dose arms of the trail, either 2,000IU or 4,000IU. </w:t>
      </w:r>
    </w:p>
    <w:p w:rsidR="009E2D21" w:rsidRPr="00B276E7" w:rsidRDefault="009E2D21" w:rsidP="009716A4">
      <w:pPr>
        <w:rPr>
          <w:rFonts w:asciiTheme="majorHAnsi" w:hAnsiTheme="majorHAnsi"/>
          <w:sz w:val="22"/>
          <w:szCs w:val="22"/>
        </w:rPr>
      </w:pPr>
    </w:p>
    <w:p w:rsidR="009716A4" w:rsidRPr="00B276E7" w:rsidRDefault="008C517A" w:rsidP="009716A4">
      <w:pPr>
        <w:rPr>
          <w:rFonts w:asciiTheme="majorHAnsi" w:hAnsiTheme="majorHAnsi"/>
          <w:color w:val="FF0000"/>
          <w:sz w:val="22"/>
          <w:szCs w:val="22"/>
        </w:rPr>
      </w:pPr>
      <w:r w:rsidRPr="00B276E7">
        <w:rPr>
          <w:rFonts w:asciiTheme="majorHAnsi" w:hAnsiTheme="majorHAnsi"/>
          <w:sz w:val="22"/>
          <w:szCs w:val="22"/>
        </w:rPr>
        <w:t>For our</w:t>
      </w:r>
      <w:r w:rsidR="009716A4" w:rsidRPr="00B276E7">
        <w:rPr>
          <w:rFonts w:asciiTheme="majorHAnsi" w:hAnsiTheme="majorHAnsi"/>
          <w:sz w:val="22"/>
          <w:szCs w:val="22"/>
        </w:rPr>
        <w:t xml:space="preserve"> study, the </w:t>
      </w:r>
      <w:r w:rsidRPr="00B276E7">
        <w:rPr>
          <w:rFonts w:asciiTheme="majorHAnsi" w:hAnsiTheme="majorHAnsi"/>
          <w:sz w:val="22"/>
          <w:szCs w:val="22"/>
        </w:rPr>
        <w:t xml:space="preserve">outpatient </w:t>
      </w:r>
      <w:r w:rsidR="004B1A43" w:rsidRPr="00B276E7">
        <w:rPr>
          <w:rFonts w:asciiTheme="majorHAnsi" w:hAnsiTheme="majorHAnsi"/>
          <w:sz w:val="22"/>
          <w:szCs w:val="22"/>
        </w:rPr>
        <w:t>pharmacy at ACC</w:t>
      </w:r>
      <w:r w:rsidR="009716A4" w:rsidRPr="00B276E7">
        <w:rPr>
          <w:rFonts w:asciiTheme="majorHAnsi" w:hAnsiTheme="majorHAnsi"/>
          <w:sz w:val="22"/>
          <w:szCs w:val="22"/>
        </w:rPr>
        <w:t xml:space="preserve"> will preorder a 3</w:t>
      </w:r>
      <w:r w:rsidR="00A431D5" w:rsidRPr="00B276E7">
        <w:rPr>
          <w:rFonts w:asciiTheme="majorHAnsi" w:hAnsiTheme="majorHAnsi"/>
          <w:sz w:val="22"/>
          <w:szCs w:val="22"/>
        </w:rPr>
        <w:t xml:space="preserve"> </w:t>
      </w:r>
      <w:r w:rsidR="009716A4" w:rsidRPr="00B276E7">
        <w:rPr>
          <w:rFonts w:asciiTheme="majorHAnsi" w:hAnsiTheme="majorHAnsi"/>
          <w:sz w:val="22"/>
          <w:szCs w:val="22"/>
        </w:rPr>
        <w:t xml:space="preserve">month supply of </w:t>
      </w:r>
      <w:r w:rsidR="00517CE5" w:rsidRPr="00B276E7">
        <w:rPr>
          <w:rFonts w:asciiTheme="majorHAnsi" w:hAnsiTheme="majorHAnsi"/>
          <w:sz w:val="22"/>
          <w:szCs w:val="22"/>
        </w:rPr>
        <w:t xml:space="preserve">the </w:t>
      </w:r>
      <w:r w:rsidR="009716A4" w:rsidRPr="00B276E7">
        <w:rPr>
          <w:rFonts w:asciiTheme="majorHAnsi" w:hAnsiTheme="majorHAnsi"/>
          <w:sz w:val="22"/>
          <w:szCs w:val="22"/>
        </w:rPr>
        <w:t>vitamin D</w:t>
      </w:r>
      <w:r w:rsidR="009716A4" w:rsidRPr="00B276E7">
        <w:rPr>
          <w:rFonts w:asciiTheme="majorHAnsi" w:hAnsiTheme="majorHAnsi"/>
          <w:sz w:val="22"/>
          <w:szCs w:val="22"/>
          <w:vertAlign w:val="subscript"/>
        </w:rPr>
        <w:t>3</w:t>
      </w:r>
      <w:r w:rsidR="009716A4" w:rsidRPr="00B276E7">
        <w:rPr>
          <w:rFonts w:asciiTheme="majorHAnsi" w:hAnsiTheme="majorHAnsi"/>
          <w:sz w:val="22"/>
          <w:szCs w:val="22"/>
        </w:rPr>
        <w:t xml:space="preserve"> supplements from a brand called ‘Major’ for all 30 patients</w:t>
      </w:r>
      <w:r w:rsidR="00162081" w:rsidRPr="00B276E7">
        <w:rPr>
          <w:rFonts w:asciiTheme="majorHAnsi" w:hAnsiTheme="majorHAnsi"/>
          <w:sz w:val="22"/>
          <w:szCs w:val="22"/>
        </w:rPr>
        <w:t xml:space="preserve">. </w:t>
      </w:r>
      <w:r w:rsidR="00A431D5" w:rsidRPr="00B276E7">
        <w:rPr>
          <w:rFonts w:asciiTheme="majorHAnsi" w:hAnsiTheme="majorHAnsi"/>
          <w:sz w:val="22"/>
          <w:szCs w:val="22"/>
        </w:rPr>
        <w:t>The outpatient pharmacy at the ACC will p</w:t>
      </w:r>
      <w:r w:rsidRPr="00B276E7">
        <w:rPr>
          <w:rFonts w:asciiTheme="majorHAnsi" w:hAnsiTheme="majorHAnsi"/>
          <w:sz w:val="22"/>
          <w:szCs w:val="22"/>
        </w:rPr>
        <w:t>rep</w:t>
      </w:r>
      <w:r w:rsidR="00A431D5" w:rsidRPr="00B276E7">
        <w:rPr>
          <w:rFonts w:asciiTheme="majorHAnsi" w:hAnsiTheme="majorHAnsi"/>
          <w:sz w:val="22"/>
          <w:szCs w:val="22"/>
        </w:rPr>
        <w:t>ackage</w:t>
      </w:r>
      <w:r w:rsidR="004B1A43" w:rsidRPr="00B276E7">
        <w:rPr>
          <w:rFonts w:asciiTheme="majorHAnsi" w:hAnsiTheme="majorHAnsi"/>
          <w:sz w:val="22"/>
          <w:szCs w:val="22"/>
        </w:rPr>
        <w:t>, label and number each of the packages containing</w:t>
      </w:r>
      <w:r w:rsidR="00A431D5" w:rsidRPr="00B276E7">
        <w:rPr>
          <w:rFonts w:asciiTheme="majorHAnsi" w:hAnsiTheme="majorHAnsi"/>
          <w:sz w:val="22"/>
          <w:szCs w:val="22"/>
        </w:rPr>
        <w:t xml:space="preserve"> a 3 month supply of vitamin D</w:t>
      </w:r>
      <w:r w:rsidR="00A431D5" w:rsidRPr="00B276E7">
        <w:rPr>
          <w:rFonts w:asciiTheme="majorHAnsi" w:hAnsiTheme="majorHAnsi"/>
          <w:sz w:val="22"/>
          <w:szCs w:val="22"/>
          <w:vertAlign w:val="subscript"/>
        </w:rPr>
        <w:t>3</w:t>
      </w:r>
      <w:r w:rsidR="005424A8" w:rsidRPr="00B276E7">
        <w:rPr>
          <w:rFonts w:asciiTheme="majorHAnsi" w:hAnsiTheme="majorHAnsi"/>
          <w:sz w:val="22"/>
          <w:szCs w:val="22"/>
          <w:vertAlign w:val="subscript"/>
        </w:rPr>
        <w:t>,</w:t>
      </w:r>
      <w:r w:rsidR="00A431D5" w:rsidRPr="00B276E7">
        <w:rPr>
          <w:rFonts w:asciiTheme="majorHAnsi" w:hAnsiTheme="majorHAnsi"/>
          <w:sz w:val="22"/>
          <w:szCs w:val="22"/>
        </w:rPr>
        <w:t xml:space="preserve"> </w:t>
      </w:r>
      <w:r w:rsidR="005424A8" w:rsidRPr="00B276E7">
        <w:rPr>
          <w:rFonts w:asciiTheme="majorHAnsi" w:hAnsiTheme="majorHAnsi"/>
          <w:sz w:val="22"/>
          <w:szCs w:val="22"/>
        </w:rPr>
        <w:t xml:space="preserve">for the 30 patients enrolled. </w:t>
      </w:r>
      <w:r w:rsidR="004B1A43" w:rsidRPr="00B276E7">
        <w:rPr>
          <w:rFonts w:asciiTheme="majorHAnsi" w:hAnsiTheme="majorHAnsi"/>
          <w:sz w:val="22"/>
          <w:szCs w:val="22"/>
        </w:rPr>
        <w:t>Among the 30 vitamin D</w:t>
      </w:r>
      <w:r w:rsidR="004B1A43" w:rsidRPr="00B276E7">
        <w:rPr>
          <w:rFonts w:asciiTheme="majorHAnsi" w:hAnsiTheme="majorHAnsi"/>
          <w:sz w:val="22"/>
          <w:szCs w:val="22"/>
          <w:vertAlign w:val="subscript"/>
        </w:rPr>
        <w:t>3</w:t>
      </w:r>
      <w:r w:rsidR="004B1A43" w:rsidRPr="00B276E7">
        <w:rPr>
          <w:rFonts w:asciiTheme="majorHAnsi" w:hAnsiTheme="majorHAnsi"/>
          <w:sz w:val="22"/>
          <w:szCs w:val="22"/>
        </w:rPr>
        <w:t xml:space="preserve"> packages prepared by the pharmacy- </w:t>
      </w:r>
      <w:r w:rsidR="005424A8" w:rsidRPr="00B276E7">
        <w:rPr>
          <w:rFonts w:asciiTheme="majorHAnsi" w:hAnsiTheme="majorHAnsi"/>
          <w:sz w:val="22"/>
          <w:szCs w:val="22"/>
        </w:rPr>
        <w:t xml:space="preserve">15 packages </w:t>
      </w:r>
      <w:r w:rsidR="004B1A43" w:rsidRPr="00B276E7">
        <w:rPr>
          <w:rFonts w:asciiTheme="majorHAnsi" w:hAnsiTheme="majorHAnsi"/>
          <w:sz w:val="22"/>
          <w:szCs w:val="22"/>
        </w:rPr>
        <w:t xml:space="preserve">will contain </w:t>
      </w:r>
      <w:r w:rsidR="009716A4" w:rsidRPr="00B276E7">
        <w:rPr>
          <w:rFonts w:asciiTheme="majorHAnsi" w:hAnsiTheme="majorHAnsi"/>
          <w:sz w:val="22"/>
          <w:szCs w:val="22"/>
        </w:rPr>
        <w:t xml:space="preserve">2,000IU (1 bottle) </w:t>
      </w:r>
      <w:r w:rsidR="004B1A43" w:rsidRPr="00B276E7">
        <w:rPr>
          <w:rFonts w:asciiTheme="majorHAnsi" w:hAnsiTheme="majorHAnsi"/>
          <w:sz w:val="22"/>
          <w:szCs w:val="22"/>
        </w:rPr>
        <w:t xml:space="preserve">of vitamin D </w:t>
      </w:r>
      <w:r w:rsidR="004B1A43" w:rsidRPr="00B276E7">
        <w:rPr>
          <w:rFonts w:asciiTheme="majorHAnsi" w:hAnsiTheme="majorHAnsi"/>
          <w:sz w:val="22"/>
          <w:szCs w:val="22"/>
          <w:vertAlign w:val="subscript"/>
        </w:rPr>
        <w:t>3</w:t>
      </w:r>
      <w:r w:rsidR="004B1A43" w:rsidRPr="00B276E7">
        <w:rPr>
          <w:rFonts w:asciiTheme="majorHAnsi" w:hAnsiTheme="majorHAnsi"/>
          <w:sz w:val="22"/>
          <w:szCs w:val="22"/>
        </w:rPr>
        <w:t xml:space="preserve"> </w:t>
      </w:r>
      <w:r w:rsidRPr="00B276E7">
        <w:rPr>
          <w:rFonts w:asciiTheme="majorHAnsi" w:hAnsiTheme="majorHAnsi"/>
          <w:sz w:val="22"/>
          <w:szCs w:val="22"/>
        </w:rPr>
        <w:t>and</w:t>
      </w:r>
      <w:r w:rsidR="009716A4" w:rsidRPr="00B276E7">
        <w:rPr>
          <w:rFonts w:asciiTheme="majorHAnsi" w:hAnsiTheme="majorHAnsi"/>
          <w:sz w:val="22"/>
          <w:szCs w:val="22"/>
        </w:rPr>
        <w:t xml:space="preserve"> </w:t>
      </w:r>
      <w:r w:rsidR="004B1A43" w:rsidRPr="00B276E7">
        <w:rPr>
          <w:rFonts w:asciiTheme="majorHAnsi" w:hAnsiTheme="majorHAnsi"/>
          <w:sz w:val="22"/>
          <w:szCs w:val="22"/>
        </w:rPr>
        <w:t xml:space="preserve">the other 15 packages will contain </w:t>
      </w:r>
      <w:r w:rsidR="009716A4" w:rsidRPr="00B276E7">
        <w:rPr>
          <w:rFonts w:asciiTheme="majorHAnsi" w:hAnsiTheme="majorHAnsi"/>
          <w:sz w:val="22"/>
          <w:szCs w:val="22"/>
        </w:rPr>
        <w:t>4,000IU (2 bottles)</w:t>
      </w:r>
      <w:r w:rsidR="004B1A43" w:rsidRPr="00B276E7">
        <w:rPr>
          <w:rFonts w:asciiTheme="majorHAnsi" w:hAnsiTheme="majorHAnsi"/>
          <w:sz w:val="22"/>
          <w:szCs w:val="22"/>
        </w:rPr>
        <w:t xml:space="preserve"> of vitamin D</w:t>
      </w:r>
      <w:r w:rsidR="004B1A43" w:rsidRPr="00B276E7">
        <w:rPr>
          <w:rFonts w:asciiTheme="majorHAnsi" w:hAnsiTheme="majorHAnsi"/>
          <w:sz w:val="22"/>
          <w:szCs w:val="22"/>
          <w:vertAlign w:val="subscript"/>
        </w:rPr>
        <w:t>3</w:t>
      </w:r>
      <w:r w:rsidR="004B1A43" w:rsidRPr="00B276E7">
        <w:rPr>
          <w:rFonts w:asciiTheme="majorHAnsi" w:hAnsiTheme="majorHAnsi"/>
          <w:sz w:val="22"/>
          <w:szCs w:val="22"/>
        </w:rPr>
        <w:t xml:space="preserve">. </w:t>
      </w:r>
      <w:r w:rsidR="009E2D21" w:rsidRPr="00B276E7">
        <w:rPr>
          <w:rFonts w:asciiTheme="majorHAnsi" w:hAnsiTheme="majorHAnsi"/>
          <w:sz w:val="22"/>
          <w:szCs w:val="22"/>
        </w:rPr>
        <w:t>The vitamin D</w:t>
      </w:r>
      <w:r w:rsidR="009E2D21" w:rsidRPr="00B276E7">
        <w:rPr>
          <w:rFonts w:asciiTheme="majorHAnsi" w:hAnsiTheme="majorHAnsi"/>
          <w:sz w:val="22"/>
          <w:szCs w:val="22"/>
          <w:vertAlign w:val="subscript"/>
        </w:rPr>
        <w:t>3</w:t>
      </w:r>
      <w:r w:rsidR="009E2D21" w:rsidRPr="00B276E7">
        <w:rPr>
          <w:rFonts w:asciiTheme="majorHAnsi" w:hAnsiTheme="majorHAnsi"/>
          <w:sz w:val="22"/>
          <w:szCs w:val="22"/>
        </w:rPr>
        <w:t xml:space="preserve"> packages will be randomly distributed among the 30 enrolled patients such that half of the patients receive 2,000IU/day and the other half will receive 4,000 IU/day.</w:t>
      </w:r>
      <w:r w:rsidR="009E2D21" w:rsidRPr="00B276E7">
        <w:rPr>
          <w:rFonts w:asciiTheme="majorHAnsi" w:hAnsiTheme="majorHAnsi"/>
          <w:color w:val="FF0000"/>
          <w:sz w:val="22"/>
          <w:szCs w:val="22"/>
        </w:rPr>
        <w:t xml:space="preserve"> </w:t>
      </w:r>
      <w:r w:rsidR="004B1A43" w:rsidRPr="00B276E7">
        <w:rPr>
          <w:rFonts w:asciiTheme="majorHAnsi" w:hAnsiTheme="majorHAnsi"/>
          <w:sz w:val="22"/>
          <w:szCs w:val="22"/>
        </w:rPr>
        <w:t>The vitamin D</w:t>
      </w:r>
      <w:r w:rsidR="004B1A43" w:rsidRPr="00B276E7">
        <w:rPr>
          <w:rFonts w:asciiTheme="majorHAnsi" w:hAnsiTheme="majorHAnsi"/>
          <w:sz w:val="22"/>
          <w:szCs w:val="22"/>
          <w:vertAlign w:val="subscript"/>
        </w:rPr>
        <w:t>3</w:t>
      </w:r>
      <w:r w:rsidR="004B1A43" w:rsidRPr="00B276E7">
        <w:rPr>
          <w:rFonts w:asciiTheme="majorHAnsi" w:hAnsiTheme="majorHAnsi"/>
          <w:sz w:val="22"/>
          <w:szCs w:val="22"/>
        </w:rPr>
        <w:t xml:space="preserve"> bottles in these packages will be labeled such that they will not indicate the</w:t>
      </w:r>
      <w:r w:rsidR="008E3B21">
        <w:rPr>
          <w:rFonts w:asciiTheme="majorHAnsi" w:hAnsiTheme="majorHAnsi"/>
          <w:sz w:val="22"/>
          <w:szCs w:val="22"/>
        </w:rPr>
        <w:t xml:space="preserve"> dose of vitamin D</w:t>
      </w:r>
      <w:r w:rsidR="004B1A43" w:rsidRPr="00B276E7">
        <w:rPr>
          <w:rFonts w:asciiTheme="majorHAnsi" w:hAnsiTheme="majorHAnsi"/>
          <w:sz w:val="22"/>
          <w:szCs w:val="22"/>
        </w:rPr>
        <w:t xml:space="preserve"> but will have directions on how to take the vitamin D</w:t>
      </w:r>
      <w:r w:rsidR="004B1A43" w:rsidRPr="00B276E7">
        <w:rPr>
          <w:rFonts w:asciiTheme="majorHAnsi" w:hAnsiTheme="majorHAnsi"/>
          <w:sz w:val="22"/>
          <w:szCs w:val="22"/>
          <w:vertAlign w:val="subscript"/>
        </w:rPr>
        <w:t>3</w:t>
      </w:r>
      <w:r w:rsidR="003B0D86" w:rsidRPr="00B276E7">
        <w:rPr>
          <w:rFonts w:asciiTheme="majorHAnsi" w:hAnsiTheme="majorHAnsi"/>
          <w:sz w:val="22"/>
          <w:szCs w:val="22"/>
          <w:vertAlign w:val="subscript"/>
        </w:rPr>
        <w:t xml:space="preserve"> </w:t>
      </w:r>
      <w:r w:rsidR="003B0D86" w:rsidRPr="00B276E7">
        <w:rPr>
          <w:rFonts w:asciiTheme="majorHAnsi" w:hAnsiTheme="majorHAnsi"/>
          <w:sz w:val="22"/>
          <w:szCs w:val="22"/>
        </w:rPr>
        <w:t>daily</w:t>
      </w:r>
      <w:r w:rsidR="004B1A43" w:rsidRPr="00B276E7">
        <w:rPr>
          <w:rFonts w:asciiTheme="majorHAnsi" w:hAnsiTheme="majorHAnsi"/>
          <w:sz w:val="22"/>
          <w:szCs w:val="22"/>
        </w:rPr>
        <w:t xml:space="preserve">. </w:t>
      </w:r>
      <w:r w:rsidR="00851253" w:rsidRPr="00B276E7">
        <w:rPr>
          <w:rFonts w:asciiTheme="majorHAnsi" w:hAnsiTheme="majorHAnsi"/>
          <w:sz w:val="22"/>
          <w:szCs w:val="22"/>
        </w:rPr>
        <w:t xml:space="preserve">Thus, the enrolled patients will be unaware of the vitamin D dose they will be receiving for the next 3 months. </w:t>
      </w:r>
      <w:r w:rsidR="004B1A43" w:rsidRPr="00B276E7">
        <w:rPr>
          <w:rFonts w:asciiTheme="majorHAnsi" w:hAnsiTheme="majorHAnsi"/>
          <w:sz w:val="22"/>
          <w:szCs w:val="22"/>
        </w:rPr>
        <w:t>All</w:t>
      </w:r>
      <w:r w:rsidR="005424A8" w:rsidRPr="00B276E7">
        <w:rPr>
          <w:rFonts w:asciiTheme="majorHAnsi" w:hAnsiTheme="majorHAnsi"/>
          <w:sz w:val="22"/>
          <w:szCs w:val="22"/>
        </w:rPr>
        <w:t xml:space="preserve"> these packages</w:t>
      </w:r>
      <w:r w:rsidR="003B0D86" w:rsidRPr="00B276E7">
        <w:rPr>
          <w:rFonts w:asciiTheme="majorHAnsi" w:hAnsiTheme="majorHAnsi"/>
          <w:sz w:val="22"/>
          <w:szCs w:val="22"/>
        </w:rPr>
        <w:t xml:space="preserve"> prepared by the pharmacy will have number and a </w:t>
      </w:r>
      <w:r w:rsidR="005424A8" w:rsidRPr="00B276E7">
        <w:rPr>
          <w:rFonts w:asciiTheme="majorHAnsi" w:hAnsiTheme="majorHAnsi"/>
          <w:sz w:val="22"/>
          <w:szCs w:val="22"/>
        </w:rPr>
        <w:t>master key made by the pharmacy, will contain a list of all the vitamin D package numbers and the corresponding vitamin D doses</w:t>
      </w:r>
      <w:r w:rsidR="003B0D86" w:rsidRPr="00B276E7">
        <w:rPr>
          <w:rFonts w:asciiTheme="majorHAnsi" w:hAnsiTheme="majorHAnsi"/>
          <w:sz w:val="22"/>
          <w:szCs w:val="22"/>
        </w:rPr>
        <w:t xml:space="preserve"> available</w:t>
      </w:r>
      <w:r w:rsidR="005424A8" w:rsidRPr="00B276E7">
        <w:rPr>
          <w:rFonts w:asciiTheme="majorHAnsi" w:hAnsiTheme="majorHAnsi"/>
          <w:sz w:val="22"/>
          <w:szCs w:val="22"/>
        </w:rPr>
        <w:t xml:space="preserve"> in these packages. </w:t>
      </w:r>
      <w:r w:rsidR="005424A8" w:rsidRPr="0011411A">
        <w:rPr>
          <w:rFonts w:asciiTheme="majorHAnsi" w:hAnsiTheme="majorHAnsi"/>
          <w:color w:val="000000" w:themeColor="text1"/>
          <w:sz w:val="22"/>
          <w:szCs w:val="22"/>
        </w:rPr>
        <w:t>The</w:t>
      </w:r>
      <w:r w:rsidR="00B53922" w:rsidRPr="0011411A">
        <w:rPr>
          <w:rFonts w:asciiTheme="majorHAnsi" w:hAnsiTheme="majorHAnsi"/>
          <w:color w:val="000000" w:themeColor="text1"/>
          <w:sz w:val="22"/>
          <w:szCs w:val="22"/>
        </w:rPr>
        <w:t xml:space="preserve"> </w:t>
      </w:r>
      <w:r w:rsidR="005424A8" w:rsidRPr="0011411A">
        <w:rPr>
          <w:rFonts w:asciiTheme="majorHAnsi" w:hAnsiTheme="majorHAnsi"/>
          <w:color w:val="000000" w:themeColor="text1"/>
          <w:sz w:val="22"/>
          <w:szCs w:val="22"/>
        </w:rPr>
        <w:t xml:space="preserve">investigators will keep the </w:t>
      </w:r>
      <w:r w:rsidR="00B53922" w:rsidRPr="0011411A">
        <w:rPr>
          <w:rFonts w:asciiTheme="majorHAnsi" w:hAnsiTheme="majorHAnsi"/>
          <w:color w:val="000000" w:themeColor="text1"/>
          <w:sz w:val="22"/>
          <w:szCs w:val="22"/>
        </w:rPr>
        <w:t xml:space="preserve">master </w:t>
      </w:r>
      <w:r w:rsidR="005424A8" w:rsidRPr="0011411A">
        <w:rPr>
          <w:rFonts w:asciiTheme="majorHAnsi" w:hAnsiTheme="majorHAnsi"/>
          <w:color w:val="000000" w:themeColor="text1"/>
          <w:sz w:val="22"/>
          <w:szCs w:val="22"/>
        </w:rPr>
        <w:t xml:space="preserve">key but will not be aware </w:t>
      </w:r>
      <w:r w:rsidR="003B0D86" w:rsidRPr="0011411A">
        <w:rPr>
          <w:rFonts w:asciiTheme="majorHAnsi" w:hAnsiTheme="majorHAnsi"/>
          <w:color w:val="000000" w:themeColor="text1"/>
          <w:sz w:val="22"/>
          <w:szCs w:val="22"/>
        </w:rPr>
        <w:t xml:space="preserve">of how much </w:t>
      </w:r>
      <w:r w:rsidR="00851253" w:rsidRPr="0011411A">
        <w:rPr>
          <w:rFonts w:asciiTheme="majorHAnsi" w:hAnsiTheme="majorHAnsi"/>
          <w:color w:val="000000" w:themeColor="text1"/>
          <w:sz w:val="22"/>
          <w:szCs w:val="22"/>
        </w:rPr>
        <w:t>of vitamin D</w:t>
      </w:r>
      <w:r w:rsidR="00851253" w:rsidRPr="0011411A">
        <w:rPr>
          <w:rFonts w:asciiTheme="majorHAnsi" w:hAnsiTheme="majorHAnsi"/>
          <w:color w:val="000000" w:themeColor="text1"/>
          <w:sz w:val="22"/>
          <w:szCs w:val="22"/>
          <w:vertAlign w:val="subscript"/>
        </w:rPr>
        <w:t>3</w:t>
      </w:r>
      <w:r w:rsidR="00851253" w:rsidRPr="0011411A">
        <w:rPr>
          <w:rFonts w:asciiTheme="majorHAnsi" w:hAnsiTheme="majorHAnsi"/>
          <w:color w:val="000000" w:themeColor="text1"/>
          <w:sz w:val="22"/>
          <w:szCs w:val="22"/>
        </w:rPr>
        <w:t xml:space="preserve"> </w:t>
      </w:r>
      <w:r w:rsidR="003B0D86" w:rsidRPr="0011411A">
        <w:rPr>
          <w:rFonts w:asciiTheme="majorHAnsi" w:hAnsiTheme="majorHAnsi"/>
          <w:color w:val="000000" w:themeColor="text1"/>
          <w:sz w:val="22"/>
          <w:szCs w:val="22"/>
        </w:rPr>
        <w:t xml:space="preserve">each patient will be receiving while </w:t>
      </w:r>
      <w:r w:rsidR="00851253" w:rsidRPr="0011411A">
        <w:rPr>
          <w:rFonts w:asciiTheme="majorHAnsi" w:hAnsiTheme="majorHAnsi"/>
          <w:color w:val="000000" w:themeColor="text1"/>
          <w:sz w:val="22"/>
          <w:szCs w:val="22"/>
        </w:rPr>
        <w:t>dispensing the vitamin D</w:t>
      </w:r>
      <w:r w:rsidR="00851253" w:rsidRPr="0011411A">
        <w:rPr>
          <w:rFonts w:asciiTheme="majorHAnsi" w:hAnsiTheme="majorHAnsi"/>
          <w:color w:val="000000" w:themeColor="text1"/>
          <w:sz w:val="22"/>
          <w:szCs w:val="22"/>
          <w:vertAlign w:val="subscript"/>
        </w:rPr>
        <w:t xml:space="preserve">3 </w:t>
      </w:r>
      <w:r w:rsidR="00851253" w:rsidRPr="0011411A">
        <w:rPr>
          <w:rFonts w:asciiTheme="majorHAnsi" w:hAnsiTheme="majorHAnsi"/>
          <w:color w:val="000000" w:themeColor="text1"/>
          <w:sz w:val="22"/>
          <w:szCs w:val="22"/>
        </w:rPr>
        <w:t>or during the period of enrollment</w:t>
      </w:r>
      <w:r w:rsidR="003B0D86" w:rsidRPr="0011411A">
        <w:rPr>
          <w:rFonts w:asciiTheme="majorHAnsi" w:hAnsiTheme="majorHAnsi"/>
          <w:color w:val="000000" w:themeColor="text1"/>
          <w:sz w:val="22"/>
          <w:szCs w:val="22"/>
        </w:rPr>
        <w:t xml:space="preserve"> in</w:t>
      </w:r>
      <w:r w:rsidR="00851253" w:rsidRPr="0011411A">
        <w:rPr>
          <w:rFonts w:asciiTheme="majorHAnsi" w:hAnsiTheme="majorHAnsi"/>
          <w:color w:val="000000" w:themeColor="text1"/>
          <w:sz w:val="22"/>
          <w:szCs w:val="22"/>
        </w:rPr>
        <w:t>to</w:t>
      </w:r>
      <w:r w:rsidR="003B0D86" w:rsidRPr="0011411A">
        <w:rPr>
          <w:rFonts w:asciiTheme="majorHAnsi" w:hAnsiTheme="majorHAnsi"/>
          <w:color w:val="000000" w:themeColor="text1"/>
          <w:sz w:val="22"/>
          <w:szCs w:val="22"/>
        </w:rPr>
        <w:t xml:space="preserve"> the study</w:t>
      </w:r>
      <w:r w:rsidR="00851253" w:rsidRPr="0011411A">
        <w:rPr>
          <w:rFonts w:asciiTheme="majorHAnsi" w:hAnsiTheme="majorHAnsi"/>
          <w:color w:val="000000" w:themeColor="text1"/>
          <w:sz w:val="22"/>
          <w:szCs w:val="22"/>
        </w:rPr>
        <w:t xml:space="preserve">. This is to prevent bias of the investigator </w:t>
      </w:r>
      <w:r w:rsidR="003B0D86" w:rsidRPr="0011411A">
        <w:rPr>
          <w:rFonts w:asciiTheme="majorHAnsi" w:hAnsiTheme="majorHAnsi"/>
          <w:color w:val="000000" w:themeColor="text1"/>
          <w:sz w:val="22"/>
          <w:szCs w:val="22"/>
        </w:rPr>
        <w:t xml:space="preserve">while filling </w:t>
      </w:r>
      <w:r w:rsidR="00851253" w:rsidRPr="0011411A">
        <w:rPr>
          <w:rFonts w:asciiTheme="majorHAnsi" w:hAnsiTheme="majorHAnsi"/>
          <w:color w:val="000000" w:themeColor="text1"/>
          <w:sz w:val="22"/>
          <w:szCs w:val="22"/>
        </w:rPr>
        <w:t xml:space="preserve">out </w:t>
      </w:r>
      <w:r w:rsidR="003B0D86" w:rsidRPr="0011411A">
        <w:rPr>
          <w:rFonts w:asciiTheme="majorHAnsi" w:hAnsiTheme="majorHAnsi"/>
          <w:color w:val="000000" w:themeColor="text1"/>
          <w:sz w:val="22"/>
          <w:szCs w:val="22"/>
        </w:rPr>
        <w:t>the IBD questionnaires.</w:t>
      </w:r>
      <w:r w:rsidR="009E2D21" w:rsidRPr="00B276E7">
        <w:rPr>
          <w:rFonts w:asciiTheme="majorHAnsi" w:hAnsiTheme="majorHAnsi"/>
          <w:color w:val="FF0000"/>
          <w:sz w:val="22"/>
          <w:szCs w:val="22"/>
        </w:rPr>
        <w:t xml:space="preserve"> </w:t>
      </w:r>
      <w:r w:rsidR="009716A4" w:rsidRPr="00B276E7">
        <w:rPr>
          <w:rFonts w:asciiTheme="majorHAnsi" w:hAnsiTheme="majorHAnsi"/>
          <w:sz w:val="22"/>
          <w:szCs w:val="22"/>
        </w:rPr>
        <w:t xml:space="preserve">The vitamin D </w:t>
      </w:r>
      <w:r w:rsidR="00144E35" w:rsidRPr="00B276E7">
        <w:rPr>
          <w:rFonts w:asciiTheme="majorHAnsi" w:hAnsiTheme="majorHAnsi"/>
          <w:sz w:val="22"/>
          <w:szCs w:val="22"/>
        </w:rPr>
        <w:t>pre</w:t>
      </w:r>
      <w:r w:rsidR="009716A4" w:rsidRPr="00B276E7">
        <w:rPr>
          <w:rFonts w:asciiTheme="majorHAnsi" w:hAnsiTheme="majorHAnsi"/>
          <w:sz w:val="22"/>
          <w:szCs w:val="22"/>
        </w:rPr>
        <w:t>packages</w:t>
      </w:r>
      <w:r w:rsidR="00144E35" w:rsidRPr="00B276E7">
        <w:rPr>
          <w:rFonts w:asciiTheme="majorHAnsi" w:hAnsiTheme="majorHAnsi"/>
          <w:sz w:val="22"/>
          <w:szCs w:val="22"/>
        </w:rPr>
        <w:t xml:space="preserve"> prepared by the pharmacy</w:t>
      </w:r>
      <w:r w:rsidR="009716A4" w:rsidRPr="00B276E7">
        <w:rPr>
          <w:rFonts w:asciiTheme="majorHAnsi" w:hAnsiTheme="majorHAnsi"/>
          <w:sz w:val="22"/>
          <w:szCs w:val="22"/>
        </w:rPr>
        <w:t xml:space="preserve"> will be stored in the </w:t>
      </w:r>
      <w:r w:rsidR="0021071F" w:rsidRPr="00B276E7">
        <w:rPr>
          <w:rFonts w:asciiTheme="majorHAnsi" w:hAnsiTheme="majorHAnsi"/>
          <w:sz w:val="22"/>
          <w:szCs w:val="22"/>
        </w:rPr>
        <w:t>medical supply room at the ACC</w:t>
      </w:r>
      <w:r w:rsidR="00144E35" w:rsidRPr="00B276E7">
        <w:rPr>
          <w:rFonts w:asciiTheme="majorHAnsi" w:hAnsiTheme="majorHAnsi"/>
          <w:sz w:val="22"/>
          <w:szCs w:val="22"/>
        </w:rPr>
        <w:t xml:space="preserve">, </w:t>
      </w:r>
      <w:r w:rsidR="0021071F" w:rsidRPr="00B276E7">
        <w:rPr>
          <w:rFonts w:asciiTheme="majorHAnsi" w:hAnsiTheme="majorHAnsi"/>
          <w:sz w:val="22"/>
          <w:szCs w:val="22"/>
        </w:rPr>
        <w:t xml:space="preserve">which </w:t>
      </w:r>
      <w:r w:rsidR="00144E35" w:rsidRPr="00B276E7">
        <w:rPr>
          <w:rFonts w:asciiTheme="majorHAnsi" w:hAnsiTheme="majorHAnsi"/>
          <w:sz w:val="22"/>
          <w:szCs w:val="22"/>
        </w:rPr>
        <w:t xml:space="preserve">are </w:t>
      </w:r>
      <w:r w:rsidR="009716A4" w:rsidRPr="00B276E7">
        <w:rPr>
          <w:rFonts w:asciiTheme="majorHAnsi" w:hAnsiTheme="majorHAnsi"/>
          <w:sz w:val="22"/>
          <w:szCs w:val="22"/>
        </w:rPr>
        <w:t>locked doors</w:t>
      </w:r>
      <w:r w:rsidR="00144E35" w:rsidRPr="00B276E7">
        <w:rPr>
          <w:rFonts w:asciiTheme="majorHAnsi" w:hAnsiTheme="majorHAnsi"/>
          <w:sz w:val="22"/>
          <w:szCs w:val="22"/>
        </w:rPr>
        <w:t xml:space="preserve"> that can only be open by a security code</w:t>
      </w:r>
      <w:r w:rsidR="009716A4" w:rsidRPr="00B276E7">
        <w:rPr>
          <w:rFonts w:asciiTheme="majorHAnsi" w:hAnsiTheme="majorHAnsi"/>
          <w:sz w:val="22"/>
          <w:szCs w:val="22"/>
        </w:rPr>
        <w:t>. Compliance will be evaluated by patient interview and by a pill count of the remaining tablets on the last visit.</w:t>
      </w:r>
    </w:p>
    <w:p w:rsidR="009716A4" w:rsidRPr="00B276E7" w:rsidRDefault="009716A4" w:rsidP="009716A4">
      <w:pPr>
        <w:pStyle w:val="normal0"/>
        <w:rPr>
          <w:rFonts w:asciiTheme="majorHAnsi" w:hAnsiTheme="majorHAnsi" w:cs="Cambria"/>
        </w:rPr>
      </w:pPr>
      <w:r w:rsidRPr="00B276E7">
        <w:rPr>
          <w:rFonts w:asciiTheme="majorHAnsi" w:hAnsiTheme="majorHAnsi" w:cs="Cambria"/>
        </w:rPr>
        <w:t>All patients will need to get blood work done (listed below) and also fill out validated IBD questionnaires for quality of life assessment and IBD related disease activity scores, at the start of the study and at the end of 3 months. The following blood work will be drawn and analyzed at the community regional medical center</w:t>
      </w:r>
      <w:r w:rsidR="00162081" w:rsidRPr="00B276E7">
        <w:rPr>
          <w:rFonts w:asciiTheme="majorHAnsi" w:hAnsiTheme="majorHAnsi" w:cs="Cambria"/>
        </w:rPr>
        <w:t>s outpatient lab</w:t>
      </w:r>
      <w:r w:rsidRPr="00B276E7">
        <w:rPr>
          <w:rFonts w:asciiTheme="majorHAnsi" w:hAnsiTheme="majorHAnsi" w:cs="Cambria"/>
        </w:rPr>
        <w:t xml:space="preserve">: </w:t>
      </w:r>
    </w:p>
    <w:p w:rsidR="009716A4" w:rsidRPr="00B276E7" w:rsidRDefault="009716A4" w:rsidP="009716A4">
      <w:pPr>
        <w:pStyle w:val="ListParagraph"/>
        <w:numPr>
          <w:ilvl w:val="1"/>
          <w:numId w:val="4"/>
        </w:numPr>
        <w:rPr>
          <w:rFonts w:asciiTheme="majorHAnsi" w:hAnsiTheme="majorHAnsi"/>
          <w:sz w:val="22"/>
          <w:szCs w:val="22"/>
        </w:rPr>
      </w:pPr>
      <w:r w:rsidRPr="00B276E7">
        <w:rPr>
          <w:rFonts w:asciiTheme="majorHAnsi" w:hAnsiTheme="majorHAnsi"/>
          <w:sz w:val="22"/>
          <w:szCs w:val="22"/>
        </w:rPr>
        <w:t>25 hydroxy vitamin D levels</w:t>
      </w:r>
    </w:p>
    <w:p w:rsidR="009716A4" w:rsidRPr="00B276E7" w:rsidRDefault="009716A4" w:rsidP="009716A4">
      <w:pPr>
        <w:pStyle w:val="ListParagraph"/>
        <w:numPr>
          <w:ilvl w:val="1"/>
          <w:numId w:val="4"/>
        </w:numPr>
        <w:rPr>
          <w:rFonts w:asciiTheme="majorHAnsi" w:hAnsiTheme="majorHAnsi"/>
          <w:sz w:val="22"/>
          <w:szCs w:val="22"/>
        </w:rPr>
      </w:pPr>
      <w:r w:rsidRPr="00B276E7">
        <w:rPr>
          <w:rFonts w:asciiTheme="majorHAnsi" w:hAnsiTheme="majorHAnsi"/>
          <w:sz w:val="22"/>
          <w:szCs w:val="22"/>
        </w:rPr>
        <w:t>Complete Blood Count (CBC) with differential</w:t>
      </w:r>
    </w:p>
    <w:p w:rsidR="009716A4" w:rsidRPr="00B276E7" w:rsidRDefault="009716A4" w:rsidP="00045A20">
      <w:pPr>
        <w:pStyle w:val="ListParagraph"/>
        <w:numPr>
          <w:ilvl w:val="1"/>
          <w:numId w:val="4"/>
        </w:numPr>
        <w:rPr>
          <w:rFonts w:asciiTheme="majorHAnsi" w:hAnsiTheme="majorHAnsi"/>
          <w:sz w:val="22"/>
          <w:szCs w:val="22"/>
        </w:rPr>
      </w:pPr>
      <w:r w:rsidRPr="00B276E7">
        <w:rPr>
          <w:rFonts w:asciiTheme="majorHAnsi" w:hAnsiTheme="majorHAnsi"/>
          <w:sz w:val="22"/>
          <w:szCs w:val="22"/>
        </w:rPr>
        <w:t>Complete metabolic panel (CMP)</w:t>
      </w:r>
    </w:p>
    <w:p w:rsidR="009716A4" w:rsidRPr="00B276E7" w:rsidRDefault="009716A4" w:rsidP="009716A4">
      <w:pPr>
        <w:pStyle w:val="ListParagraph"/>
        <w:numPr>
          <w:ilvl w:val="1"/>
          <w:numId w:val="4"/>
        </w:numPr>
        <w:rPr>
          <w:rFonts w:asciiTheme="majorHAnsi" w:hAnsiTheme="majorHAnsi"/>
          <w:sz w:val="22"/>
          <w:szCs w:val="22"/>
        </w:rPr>
      </w:pPr>
      <w:r w:rsidRPr="00B276E7">
        <w:rPr>
          <w:rFonts w:asciiTheme="majorHAnsi" w:hAnsiTheme="majorHAnsi"/>
          <w:sz w:val="22"/>
          <w:szCs w:val="22"/>
        </w:rPr>
        <w:t>Serum phosphorous</w:t>
      </w:r>
    </w:p>
    <w:p w:rsidR="009716A4" w:rsidRPr="00B276E7" w:rsidRDefault="009716A4" w:rsidP="009716A4">
      <w:pPr>
        <w:pStyle w:val="ListParagraph"/>
        <w:numPr>
          <w:ilvl w:val="1"/>
          <w:numId w:val="4"/>
        </w:numPr>
        <w:rPr>
          <w:rFonts w:asciiTheme="majorHAnsi" w:hAnsiTheme="majorHAnsi"/>
          <w:sz w:val="22"/>
          <w:szCs w:val="22"/>
        </w:rPr>
      </w:pPr>
      <w:r w:rsidRPr="00B276E7">
        <w:rPr>
          <w:rFonts w:asciiTheme="majorHAnsi" w:hAnsiTheme="majorHAnsi"/>
          <w:sz w:val="22"/>
          <w:szCs w:val="22"/>
        </w:rPr>
        <w:t>Parathyroid hormone (PTH)</w:t>
      </w:r>
    </w:p>
    <w:p w:rsidR="009716A4" w:rsidRPr="00B276E7" w:rsidRDefault="009716A4" w:rsidP="009716A4">
      <w:pPr>
        <w:pStyle w:val="ListParagraph"/>
        <w:numPr>
          <w:ilvl w:val="1"/>
          <w:numId w:val="4"/>
        </w:numPr>
        <w:rPr>
          <w:rFonts w:asciiTheme="majorHAnsi" w:hAnsiTheme="majorHAnsi"/>
          <w:sz w:val="22"/>
          <w:szCs w:val="22"/>
        </w:rPr>
      </w:pPr>
      <w:r w:rsidRPr="00B276E7">
        <w:rPr>
          <w:rFonts w:asciiTheme="majorHAnsi" w:hAnsiTheme="majorHAnsi"/>
          <w:sz w:val="22"/>
          <w:szCs w:val="22"/>
        </w:rPr>
        <w:t>Erythrocyte sedimentation rate (ESR)</w:t>
      </w:r>
    </w:p>
    <w:p w:rsidR="009716A4" w:rsidRPr="00B276E7" w:rsidRDefault="009716A4" w:rsidP="009716A4">
      <w:pPr>
        <w:pStyle w:val="ListParagraph"/>
        <w:numPr>
          <w:ilvl w:val="1"/>
          <w:numId w:val="4"/>
        </w:numPr>
        <w:rPr>
          <w:rFonts w:asciiTheme="majorHAnsi" w:hAnsiTheme="majorHAnsi"/>
          <w:sz w:val="22"/>
          <w:szCs w:val="22"/>
        </w:rPr>
      </w:pPr>
      <w:r w:rsidRPr="00B276E7">
        <w:rPr>
          <w:rFonts w:asciiTheme="majorHAnsi" w:hAnsiTheme="majorHAnsi"/>
          <w:sz w:val="22"/>
          <w:szCs w:val="22"/>
        </w:rPr>
        <w:t>C- reactive protein (CRP)</w:t>
      </w:r>
    </w:p>
    <w:p w:rsidR="009716A4" w:rsidRPr="00B276E7" w:rsidRDefault="009716A4" w:rsidP="009716A4">
      <w:pPr>
        <w:rPr>
          <w:rFonts w:asciiTheme="majorHAnsi" w:hAnsiTheme="majorHAnsi"/>
          <w:sz w:val="22"/>
          <w:szCs w:val="22"/>
        </w:rPr>
      </w:pPr>
    </w:p>
    <w:p w:rsidR="009716A4" w:rsidRPr="00B276E7" w:rsidRDefault="009716A4" w:rsidP="009716A4">
      <w:pPr>
        <w:rPr>
          <w:rFonts w:asciiTheme="majorHAnsi" w:hAnsiTheme="majorHAnsi"/>
          <w:sz w:val="22"/>
          <w:szCs w:val="22"/>
          <w:vertAlign w:val="subscript"/>
        </w:rPr>
      </w:pPr>
      <w:r w:rsidRPr="00B276E7">
        <w:rPr>
          <w:rFonts w:asciiTheme="majorHAnsi" w:hAnsiTheme="majorHAnsi"/>
          <w:sz w:val="22"/>
          <w:szCs w:val="22"/>
        </w:rPr>
        <w:t xml:space="preserve">A general data collection form will be completed and two validated questionnaires regarding quality of life and IBD disease activity (attached) will completed by all enrolled patients at the beginning </w:t>
      </w:r>
      <w:r w:rsidR="00803BF2" w:rsidRPr="00B276E7">
        <w:rPr>
          <w:rFonts w:asciiTheme="majorHAnsi" w:hAnsiTheme="majorHAnsi"/>
          <w:sz w:val="22"/>
          <w:szCs w:val="22"/>
        </w:rPr>
        <w:t xml:space="preserve">of the study </w:t>
      </w:r>
      <w:r w:rsidRPr="00B276E7">
        <w:rPr>
          <w:rFonts w:asciiTheme="majorHAnsi" w:hAnsiTheme="majorHAnsi"/>
          <w:sz w:val="22"/>
          <w:szCs w:val="22"/>
        </w:rPr>
        <w:t>and at the end of the study period</w:t>
      </w:r>
      <w:r w:rsidR="00803BF2" w:rsidRPr="00B276E7">
        <w:rPr>
          <w:rFonts w:asciiTheme="majorHAnsi" w:hAnsiTheme="majorHAnsi"/>
          <w:sz w:val="22"/>
          <w:szCs w:val="22"/>
        </w:rPr>
        <w:t xml:space="preserve"> i.e. 3 months</w:t>
      </w:r>
      <w:r w:rsidRPr="00B276E7">
        <w:rPr>
          <w:rFonts w:asciiTheme="majorHAnsi" w:hAnsiTheme="majorHAnsi"/>
          <w:sz w:val="22"/>
          <w:szCs w:val="22"/>
        </w:rPr>
        <w:t xml:space="preserve">. </w:t>
      </w:r>
      <w:r w:rsidRPr="00B276E7">
        <w:rPr>
          <w:rFonts w:asciiTheme="majorHAnsi" w:hAnsiTheme="majorHAnsi"/>
          <w:sz w:val="22"/>
          <w:szCs w:val="22"/>
          <w:vertAlign w:val="subscript"/>
        </w:rPr>
        <w:t>(12- 14)</w:t>
      </w:r>
    </w:p>
    <w:p w:rsidR="009716A4" w:rsidRPr="00B276E7" w:rsidRDefault="009716A4" w:rsidP="009716A4">
      <w:pPr>
        <w:rPr>
          <w:rFonts w:asciiTheme="majorHAnsi" w:hAnsiTheme="majorHAnsi"/>
          <w:sz w:val="22"/>
          <w:szCs w:val="22"/>
        </w:rPr>
      </w:pPr>
      <w:r w:rsidRPr="00B276E7">
        <w:rPr>
          <w:rFonts w:asciiTheme="majorHAnsi" w:hAnsiTheme="majorHAnsi"/>
          <w:sz w:val="22"/>
          <w:szCs w:val="22"/>
        </w:rPr>
        <w:t>These</w:t>
      </w:r>
      <w:r w:rsidR="00803BF2" w:rsidRPr="00B276E7">
        <w:rPr>
          <w:rFonts w:asciiTheme="majorHAnsi" w:hAnsiTheme="majorHAnsi"/>
          <w:sz w:val="22"/>
          <w:szCs w:val="22"/>
        </w:rPr>
        <w:t xml:space="preserve"> forms</w:t>
      </w:r>
      <w:r w:rsidRPr="00B276E7">
        <w:rPr>
          <w:rFonts w:asciiTheme="majorHAnsi" w:hAnsiTheme="majorHAnsi"/>
          <w:sz w:val="22"/>
          <w:szCs w:val="22"/>
        </w:rPr>
        <w:t xml:space="preserve"> include:</w:t>
      </w:r>
    </w:p>
    <w:p w:rsidR="009716A4" w:rsidRPr="00B276E7" w:rsidRDefault="009716A4" w:rsidP="009716A4">
      <w:pPr>
        <w:pStyle w:val="ListParagraph"/>
        <w:numPr>
          <w:ilvl w:val="0"/>
          <w:numId w:val="2"/>
        </w:numPr>
        <w:rPr>
          <w:rFonts w:asciiTheme="majorHAnsi" w:hAnsiTheme="majorHAnsi"/>
          <w:sz w:val="22"/>
          <w:szCs w:val="22"/>
        </w:rPr>
      </w:pPr>
      <w:r w:rsidRPr="00B276E7">
        <w:rPr>
          <w:rFonts w:asciiTheme="majorHAnsi" w:hAnsiTheme="majorHAnsi"/>
          <w:sz w:val="22"/>
          <w:szCs w:val="22"/>
        </w:rPr>
        <w:t>Data collection form (Form 1)</w:t>
      </w:r>
    </w:p>
    <w:p w:rsidR="009716A4" w:rsidRPr="00B276E7" w:rsidRDefault="009716A4" w:rsidP="009716A4">
      <w:pPr>
        <w:pStyle w:val="ListParagraph"/>
        <w:numPr>
          <w:ilvl w:val="0"/>
          <w:numId w:val="2"/>
        </w:numPr>
        <w:rPr>
          <w:rFonts w:asciiTheme="majorHAnsi" w:hAnsiTheme="majorHAnsi"/>
          <w:sz w:val="22"/>
          <w:szCs w:val="22"/>
        </w:rPr>
      </w:pPr>
      <w:r w:rsidRPr="00B276E7">
        <w:rPr>
          <w:rFonts w:asciiTheme="majorHAnsi" w:hAnsiTheme="majorHAnsi"/>
          <w:sz w:val="22"/>
          <w:szCs w:val="22"/>
        </w:rPr>
        <w:t>Quality of life - Short IBD Questionnaire score (SIBDQ) for all IBD patients (Questionnaire 1)</w:t>
      </w:r>
    </w:p>
    <w:p w:rsidR="009716A4" w:rsidRPr="00B276E7" w:rsidRDefault="009716A4" w:rsidP="009716A4">
      <w:pPr>
        <w:pStyle w:val="ListParagraph"/>
        <w:numPr>
          <w:ilvl w:val="0"/>
          <w:numId w:val="2"/>
        </w:numPr>
        <w:rPr>
          <w:rFonts w:asciiTheme="majorHAnsi" w:hAnsiTheme="majorHAnsi"/>
          <w:sz w:val="22"/>
          <w:szCs w:val="22"/>
        </w:rPr>
      </w:pPr>
      <w:r w:rsidRPr="00B276E7">
        <w:rPr>
          <w:rFonts w:asciiTheme="majorHAnsi" w:hAnsiTheme="majorHAnsi"/>
          <w:sz w:val="22"/>
          <w:szCs w:val="22"/>
        </w:rPr>
        <w:t>Mayo score for UC patients (Questionnaire 2)</w:t>
      </w:r>
    </w:p>
    <w:p w:rsidR="009716A4" w:rsidRPr="00B276E7" w:rsidRDefault="009716A4" w:rsidP="009716A4">
      <w:pPr>
        <w:pStyle w:val="ListParagraph"/>
        <w:numPr>
          <w:ilvl w:val="0"/>
          <w:numId w:val="2"/>
        </w:numPr>
        <w:rPr>
          <w:rFonts w:asciiTheme="majorHAnsi" w:hAnsiTheme="majorHAnsi"/>
          <w:sz w:val="22"/>
          <w:szCs w:val="22"/>
        </w:rPr>
      </w:pPr>
      <w:r w:rsidRPr="00B276E7">
        <w:rPr>
          <w:rFonts w:asciiTheme="majorHAnsi" w:hAnsiTheme="majorHAnsi"/>
          <w:sz w:val="22"/>
          <w:szCs w:val="22"/>
        </w:rPr>
        <w:t>Crohn’s Disease Activity Index (UCDAI) for CD patients (Questionnaire 3)</w:t>
      </w:r>
    </w:p>
    <w:p w:rsidR="002761E0" w:rsidRPr="00B276E7" w:rsidRDefault="002761E0" w:rsidP="009716A4">
      <w:pPr>
        <w:rPr>
          <w:rFonts w:asciiTheme="majorHAnsi" w:hAnsiTheme="majorHAnsi" w:cs="Times New Roman"/>
          <w:sz w:val="22"/>
          <w:szCs w:val="22"/>
        </w:rPr>
      </w:pPr>
    </w:p>
    <w:p w:rsidR="00ED4177" w:rsidRPr="00B276E7" w:rsidRDefault="00ED4177" w:rsidP="009716A4">
      <w:pPr>
        <w:rPr>
          <w:rFonts w:asciiTheme="majorHAnsi" w:hAnsiTheme="majorHAnsi"/>
          <w:sz w:val="22"/>
          <w:szCs w:val="22"/>
        </w:rPr>
      </w:pPr>
    </w:p>
    <w:p w:rsidR="00B113DD" w:rsidRPr="00B276E7" w:rsidRDefault="00B113DD" w:rsidP="009716A4">
      <w:pPr>
        <w:rPr>
          <w:rFonts w:asciiTheme="majorHAnsi" w:hAnsiTheme="majorHAnsi"/>
          <w:sz w:val="22"/>
          <w:szCs w:val="22"/>
        </w:rPr>
      </w:pPr>
    </w:p>
    <w:p w:rsidR="009716A4" w:rsidRPr="00B276E7" w:rsidRDefault="009716A4" w:rsidP="009716A4">
      <w:pPr>
        <w:rPr>
          <w:rFonts w:asciiTheme="majorHAnsi" w:hAnsiTheme="majorHAnsi"/>
          <w:sz w:val="22"/>
          <w:szCs w:val="22"/>
        </w:rPr>
      </w:pPr>
      <w:r w:rsidRPr="00B276E7">
        <w:rPr>
          <w:rFonts w:asciiTheme="majorHAnsi" w:hAnsiTheme="majorHAnsi"/>
          <w:sz w:val="22"/>
          <w:szCs w:val="22"/>
        </w:rPr>
        <w:t xml:space="preserve">At the end of the study, we will compare the scores of the above questionnaire to </w:t>
      </w:r>
      <w:r w:rsidR="00162081" w:rsidRPr="00B276E7">
        <w:rPr>
          <w:rFonts w:asciiTheme="majorHAnsi" w:hAnsiTheme="majorHAnsi"/>
          <w:sz w:val="22"/>
          <w:szCs w:val="22"/>
        </w:rPr>
        <w:t xml:space="preserve">the previous scores to </w:t>
      </w:r>
      <w:r w:rsidRPr="00B276E7">
        <w:rPr>
          <w:rFonts w:asciiTheme="majorHAnsi" w:hAnsiTheme="majorHAnsi"/>
          <w:sz w:val="22"/>
          <w:szCs w:val="22"/>
        </w:rPr>
        <w:t>assess the differences in the IBD disease activity and quality of life before and after the supplementation of vitamin D</w:t>
      </w:r>
      <w:r w:rsidRPr="00B276E7">
        <w:rPr>
          <w:rFonts w:asciiTheme="majorHAnsi" w:hAnsiTheme="majorHAnsi"/>
          <w:sz w:val="22"/>
          <w:szCs w:val="22"/>
          <w:vertAlign w:val="subscript"/>
        </w:rPr>
        <w:t>3</w:t>
      </w:r>
      <w:r w:rsidRPr="00B276E7">
        <w:rPr>
          <w:rFonts w:asciiTheme="majorHAnsi" w:hAnsiTheme="majorHAnsi"/>
          <w:sz w:val="22"/>
          <w:szCs w:val="22"/>
        </w:rPr>
        <w:t>. For patients with UC, the partial mayo score (validated) will be used which includes clinical criteria only (stool frequency, rectal bleeding, physician global assessment score) and not endoscopic scores</w:t>
      </w:r>
      <w:r w:rsidR="00AD156C" w:rsidRPr="00B276E7">
        <w:rPr>
          <w:rFonts w:asciiTheme="majorHAnsi" w:hAnsiTheme="majorHAnsi"/>
          <w:sz w:val="22"/>
          <w:szCs w:val="22"/>
        </w:rPr>
        <w:t xml:space="preserve"> and we will use a UCDAI form for clinical assessment of CD disease activity</w:t>
      </w:r>
      <w:r w:rsidRPr="00B276E7">
        <w:rPr>
          <w:rFonts w:asciiTheme="majorHAnsi" w:hAnsiTheme="majorHAnsi"/>
          <w:sz w:val="22"/>
          <w:szCs w:val="22"/>
        </w:rPr>
        <w:t>.</w:t>
      </w:r>
    </w:p>
    <w:p w:rsidR="00803BF2" w:rsidRPr="00B276E7" w:rsidRDefault="00803BF2" w:rsidP="009716A4">
      <w:pPr>
        <w:rPr>
          <w:rFonts w:asciiTheme="majorHAnsi" w:hAnsiTheme="majorHAnsi"/>
          <w:b/>
          <w:sz w:val="22"/>
          <w:szCs w:val="22"/>
          <w:u w:val="single"/>
        </w:rPr>
      </w:pPr>
    </w:p>
    <w:p w:rsidR="002761E0" w:rsidRPr="00B276E7" w:rsidRDefault="002761E0" w:rsidP="009716A4">
      <w:pPr>
        <w:rPr>
          <w:rFonts w:asciiTheme="majorHAnsi" w:hAnsiTheme="majorHAnsi"/>
          <w:b/>
          <w:sz w:val="22"/>
          <w:szCs w:val="22"/>
          <w:u w:val="single"/>
        </w:rPr>
      </w:pPr>
      <w:r w:rsidRPr="00B276E7">
        <w:rPr>
          <w:rFonts w:asciiTheme="majorHAnsi" w:hAnsiTheme="majorHAnsi"/>
          <w:b/>
          <w:sz w:val="22"/>
          <w:szCs w:val="22"/>
          <w:u w:val="single"/>
        </w:rPr>
        <w:t>Study Plan:</w:t>
      </w:r>
    </w:p>
    <w:p w:rsidR="002761E0" w:rsidRPr="00B276E7" w:rsidRDefault="002761E0" w:rsidP="009716A4">
      <w:pPr>
        <w:rPr>
          <w:rFonts w:asciiTheme="majorHAnsi" w:hAnsiTheme="majorHAnsi"/>
          <w:b/>
          <w:sz w:val="22"/>
          <w:szCs w:val="22"/>
          <w:u w:val="single"/>
        </w:rPr>
      </w:pPr>
    </w:p>
    <w:tbl>
      <w:tblPr>
        <w:tblW w:w="9540" w:type="dxa"/>
        <w:tblCellSpacing w:w="0" w:type="dxa"/>
        <w:tblInd w:w="-4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3407"/>
        <w:gridCol w:w="6133"/>
      </w:tblGrid>
      <w:tr w:rsidR="002761E0" w:rsidRPr="00B276E7">
        <w:trPr>
          <w:tblCellSpacing w:w="0" w:type="dxa"/>
        </w:trPr>
        <w:tc>
          <w:tcPr>
            <w:tcW w:w="3375" w:type="dxa"/>
            <w:tcBorders>
              <w:top w:val="outset" w:sz="6" w:space="0" w:color="auto"/>
              <w:left w:val="outset" w:sz="6" w:space="0" w:color="auto"/>
              <w:bottom w:val="outset" w:sz="6" w:space="0" w:color="auto"/>
              <w:right w:val="outset" w:sz="6" w:space="0" w:color="auto"/>
            </w:tcBorders>
            <w:tcMar>
              <w:bottom w:w="36" w:type="dxa"/>
            </w:tcMar>
            <w:vAlign w:val="center"/>
          </w:tcPr>
          <w:p w:rsidR="002761E0" w:rsidRPr="00B276E7" w:rsidRDefault="002761E0" w:rsidP="00DC71D9">
            <w:pPr>
              <w:rPr>
                <w:rFonts w:asciiTheme="majorHAnsi" w:hAnsiTheme="majorHAnsi"/>
              </w:rPr>
            </w:pPr>
            <w:r w:rsidRPr="00B276E7">
              <w:rPr>
                <w:rFonts w:asciiTheme="majorHAnsi" w:hAnsiTheme="majorHAnsi"/>
                <w:b/>
                <w:bCs/>
                <w:sz w:val="22"/>
                <w:szCs w:val="22"/>
              </w:rPr>
              <w:t xml:space="preserve">Day </w:t>
            </w:r>
          </w:p>
        </w:tc>
        <w:tc>
          <w:tcPr>
            <w:tcW w:w="6075" w:type="dxa"/>
            <w:tcBorders>
              <w:top w:val="outset" w:sz="6" w:space="0" w:color="auto"/>
              <w:left w:val="outset" w:sz="6" w:space="0" w:color="auto"/>
              <w:bottom w:val="outset" w:sz="6" w:space="0" w:color="auto"/>
              <w:right w:val="outset" w:sz="6" w:space="0" w:color="auto"/>
            </w:tcBorders>
            <w:tcMar>
              <w:bottom w:w="36" w:type="dxa"/>
            </w:tcMar>
            <w:vAlign w:val="center"/>
          </w:tcPr>
          <w:p w:rsidR="002761E0" w:rsidRPr="00B276E7" w:rsidRDefault="002761E0" w:rsidP="00DC71D9">
            <w:pPr>
              <w:rPr>
                <w:rFonts w:asciiTheme="majorHAnsi" w:hAnsiTheme="majorHAnsi"/>
              </w:rPr>
            </w:pPr>
            <w:r w:rsidRPr="00B276E7">
              <w:rPr>
                <w:rFonts w:asciiTheme="majorHAnsi" w:hAnsiTheme="majorHAnsi"/>
                <w:b/>
                <w:bCs/>
                <w:sz w:val="22"/>
                <w:szCs w:val="22"/>
              </w:rPr>
              <w:t>Plan</w:t>
            </w:r>
          </w:p>
        </w:tc>
      </w:tr>
      <w:tr w:rsidR="002761E0" w:rsidRPr="00B276E7">
        <w:trPr>
          <w:trHeight w:val="477"/>
          <w:tblCellSpacing w:w="0" w:type="dxa"/>
        </w:trPr>
        <w:tc>
          <w:tcPr>
            <w:tcW w:w="3375" w:type="dxa"/>
            <w:tcBorders>
              <w:top w:val="outset" w:sz="6" w:space="0" w:color="auto"/>
              <w:left w:val="outset" w:sz="6" w:space="0" w:color="auto"/>
              <w:bottom w:val="outset" w:sz="6" w:space="0" w:color="auto"/>
              <w:right w:val="outset" w:sz="6" w:space="0" w:color="auto"/>
            </w:tcBorders>
            <w:tcMar>
              <w:bottom w:w="29" w:type="dxa"/>
            </w:tcMar>
            <w:vAlign w:val="center"/>
          </w:tcPr>
          <w:p w:rsidR="002761E0" w:rsidRPr="00B276E7" w:rsidRDefault="002761E0" w:rsidP="00DC71D9">
            <w:pPr>
              <w:rPr>
                <w:rFonts w:asciiTheme="majorHAnsi" w:hAnsiTheme="majorHAnsi"/>
              </w:rPr>
            </w:pPr>
            <w:r w:rsidRPr="00B276E7">
              <w:rPr>
                <w:rFonts w:asciiTheme="majorHAnsi" w:hAnsiTheme="majorHAnsi"/>
                <w:sz w:val="22"/>
                <w:szCs w:val="22"/>
              </w:rPr>
              <w:t xml:space="preserve">Enrollment into the study </w:t>
            </w:r>
          </w:p>
        </w:tc>
        <w:tc>
          <w:tcPr>
            <w:tcW w:w="6075" w:type="dxa"/>
            <w:tcBorders>
              <w:top w:val="outset" w:sz="6" w:space="0" w:color="auto"/>
              <w:left w:val="outset" w:sz="6" w:space="0" w:color="auto"/>
              <w:bottom w:val="outset" w:sz="6" w:space="0" w:color="auto"/>
              <w:right w:val="outset" w:sz="6" w:space="0" w:color="auto"/>
            </w:tcBorders>
            <w:tcMar>
              <w:bottom w:w="29" w:type="dxa"/>
            </w:tcMar>
            <w:vAlign w:val="center"/>
          </w:tcPr>
          <w:p w:rsidR="002761E0" w:rsidRPr="00B276E7" w:rsidRDefault="002761E0" w:rsidP="00DC71D9">
            <w:pPr>
              <w:spacing w:before="100" w:beforeAutospacing="1" w:after="100" w:afterAutospacing="1"/>
              <w:rPr>
                <w:rFonts w:asciiTheme="majorHAnsi" w:hAnsiTheme="majorHAnsi"/>
              </w:rPr>
            </w:pPr>
            <w:r w:rsidRPr="00B276E7">
              <w:rPr>
                <w:rFonts w:asciiTheme="majorHAnsi" w:hAnsiTheme="majorHAnsi"/>
                <w:sz w:val="22"/>
                <w:szCs w:val="22"/>
              </w:rPr>
              <w:t>Subject consents to be part of the study, gets blood tests, fill out a data collection form and IBD questionnaires. The subjects then receive a package containing a 3 month supply of vitamin D</w:t>
            </w:r>
            <w:r w:rsidRPr="00B276E7">
              <w:rPr>
                <w:rFonts w:asciiTheme="majorHAnsi" w:hAnsiTheme="majorHAnsi"/>
                <w:sz w:val="22"/>
                <w:szCs w:val="22"/>
                <w:vertAlign w:val="subscript"/>
              </w:rPr>
              <w:t>3</w:t>
            </w:r>
            <w:r w:rsidRPr="00B276E7">
              <w:rPr>
                <w:rFonts w:asciiTheme="majorHAnsi" w:hAnsiTheme="majorHAnsi"/>
                <w:sz w:val="22"/>
                <w:szCs w:val="22"/>
              </w:rPr>
              <w:t>.</w:t>
            </w:r>
          </w:p>
        </w:tc>
      </w:tr>
      <w:tr w:rsidR="002761E0" w:rsidRPr="00B276E7">
        <w:trPr>
          <w:trHeight w:val="873"/>
          <w:tblCellSpacing w:w="0" w:type="dxa"/>
        </w:trPr>
        <w:tc>
          <w:tcPr>
            <w:tcW w:w="3375" w:type="dxa"/>
            <w:tcBorders>
              <w:top w:val="outset" w:sz="6" w:space="0" w:color="auto"/>
              <w:left w:val="outset" w:sz="6" w:space="0" w:color="auto"/>
              <w:bottom w:val="outset" w:sz="6" w:space="0" w:color="auto"/>
              <w:right w:val="outset" w:sz="6" w:space="0" w:color="auto"/>
            </w:tcBorders>
            <w:tcMar>
              <w:bottom w:w="29" w:type="dxa"/>
            </w:tcMar>
            <w:vAlign w:val="center"/>
          </w:tcPr>
          <w:p w:rsidR="002761E0" w:rsidRPr="00B276E7" w:rsidRDefault="002761E0" w:rsidP="00DC71D9">
            <w:pPr>
              <w:rPr>
                <w:rFonts w:asciiTheme="majorHAnsi" w:hAnsiTheme="majorHAnsi"/>
              </w:rPr>
            </w:pPr>
            <w:r w:rsidRPr="00B276E7">
              <w:rPr>
                <w:rFonts w:asciiTheme="majorHAnsi" w:hAnsiTheme="majorHAnsi"/>
                <w:sz w:val="22"/>
                <w:szCs w:val="22"/>
              </w:rPr>
              <w:t>Day 1 of treatment</w:t>
            </w:r>
          </w:p>
        </w:tc>
        <w:tc>
          <w:tcPr>
            <w:tcW w:w="6075" w:type="dxa"/>
            <w:tcBorders>
              <w:top w:val="outset" w:sz="6" w:space="0" w:color="auto"/>
              <w:left w:val="outset" w:sz="6" w:space="0" w:color="auto"/>
              <w:bottom w:val="outset" w:sz="6" w:space="0" w:color="auto"/>
              <w:right w:val="outset" w:sz="6" w:space="0" w:color="auto"/>
            </w:tcBorders>
            <w:tcMar>
              <w:bottom w:w="29" w:type="dxa"/>
            </w:tcMar>
            <w:vAlign w:val="center"/>
          </w:tcPr>
          <w:p w:rsidR="002761E0" w:rsidRPr="00B276E7" w:rsidRDefault="002761E0" w:rsidP="002761E0">
            <w:pPr>
              <w:spacing w:before="100" w:beforeAutospacing="1" w:after="100" w:afterAutospacing="1"/>
              <w:rPr>
                <w:rFonts w:asciiTheme="majorHAnsi" w:hAnsiTheme="majorHAnsi"/>
              </w:rPr>
            </w:pPr>
            <w:r w:rsidRPr="00B276E7">
              <w:rPr>
                <w:rFonts w:asciiTheme="majorHAnsi" w:hAnsiTheme="majorHAnsi"/>
                <w:sz w:val="22"/>
                <w:szCs w:val="22"/>
              </w:rPr>
              <w:t>Begin taking vitamin D</w:t>
            </w:r>
            <w:r w:rsidRPr="00B276E7">
              <w:rPr>
                <w:rFonts w:asciiTheme="majorHAnsi" w:hAnsiTheme="majorHAnsi"/>
                <w:sz w:val="22"/>
                <w:szCs w:val="22"/>
                <w:vertAlign w:val="subscript"/>
              </w:rPr>
              <w:t>3</w:t>
            </w:r>
            <w:r w:rsidRPr="00B276E7">
              <w:rPr>
                <w:rFonts w:asciiTheme="majorHAnsi" w:hAnsiTheme="majorHAnsi"/>
                <w:b/>
                <w:sz w:val="22"/>
                <w:szCs w:val="22"/>
              </w:rPr>
              <w:t xml:space="preserve"> </w:t>
            </w:r>
            <w:r w:rsidRPr="00B276E7">
              <w:rPr>
                <w:rFonts w:asciiTheme="majorHAnsi" w:hAnsiTheme="majorHAnsi"/>
                <w:sz w:val="22"/>
                <w:szCs w:val="22"/>
              </w:rPr>
              <w:t>once a day for 3 months and keep taking it until asked to stop by the investigators.</w:t>
            </w:r>
          </w:p>
        </w:tc>
      </w:tr>
      <w:tr w:rsidR="002761E0" w:rsidRPr="00B276E7">
        <w:trPr>
          <w:trHeight w:val="639"/>
          <w:tblCellSpacing w:w="0" w:type="dxa"/>
        </w:trPr>
        <w:tc>
          <w:tcPr>
            <w:tcW w:w="3375" w:type="dxa"/>
            <w:tcBorders>
              <w:top w:val="outset" w:sz="6" w:space="0" w:color="auto"/>
              <w:left w:val="outset" w:sz="6" w:space="0" w:color="auto"/>
              <w:bottom w:val="outset" w:sz="6" w:space="0" w:color="auto"/>
              <w:right w:val="outset" w:sz="6" w:space="0" w:color="auto"/>
            </w:tcBorders>
            <w:tcMar>
              <w:bottom w:w="29" w:type="dxa"/>
            </w:tcMar>
            <w:vAlign w:val="center"/>
          </w:tcPr>
          <w:p w:rsidR="002761E0" w:rsidRPr="00B276E7" w:rsidRDefault="002761E0" w:rsidP="00DC71D9">
            <w:pPr>
              <w:rPr>
                <w:rFonts w:asciiTheme="majorHAnsi" w:hAnsiTheme="majorHAnsi"/>
              </w:rPr>
            </w:pPr>
            <w:r w:rsidRPr="00B276E7">
              <w:rPr>
                <w:rFonts w:asciiTheme="majorHAnsi" w:hAnsiTheme="majorHAnsi"/>
                <w:sz w:val="22"/>
                <w:szCs w:val="22"/>
              </w:rPr>
              <w:t>Day 1-90</w:t>
            </w:r>
          </w:p>
        </w:tc>
        <w:tc>
          <w:tcPr>
            <w:tcW w:w="6075" w:type="dxa"/>
            <w:tcBorders>
              <w:top w:val="outset" w:sz="6" w:space="0" w:color="auto"/>
              <w:left w:val="outset" w:sz="6" w:space="0" w:color="auto"/>
              <w:bottom w:val="outset" w:sz="6" w:space="0" w:color="auto"/>
              <w:right w:val="outset" w:sz="6" w:space="0" w:color="auto"/>
            </w:tcBorders>
            <w:tcMar>
              <w:bottom w:w="29" w:type="dxa"/>
            </w:tcMar>
            <w:vAlign w:val="center"/>
          </w:tcPr>
          <w:p w:rsidR="002761E0" w:rsidRPr="00B276E7" w:rsidRDefault="002761E0" w:rsidP="00DC71D9">
            <w:pPr>
              <w:spacing w:before="100" w:beforeAutospacing="1" w:after="100" w:afterAutospacing="1"/>
              <w:rPr>
                <w:rFonts w:asciiTheme="majorHAnsi" w:hAnsiTheme="majorHAnsi"/>
              </w:rPr>
            </w:pPr>
            <w:r w:rsidRPr="00B276E7">
              <w:rPr>
                <w:rFonts w:asciiTheme="majorHAnsi" w:hAnsiTheme="majorHAnsi"/>
                <w:sz w:val="22"/>
                <w:szCs w:val="22"/>
              </w:rPr>
              <w:t xml:space="preserve">Keep taking the vitamin D once a day. </w:t>
            </w:r>
            <w:r w:rsidR="00DC71D9" w:rsidRPr="00B276E7">
              <w:rPr>
                <w:rFonts w:asciiTheme="majorHAnsi" w:hAnsiTheme="majorHAnsi"/>
                <w:sz w:val="22"/>
                <w:szCs w:val="22"/>
              </w:rPr>
              <w:t xml:space="preserve">Patients can stop taking the vitamin D if they have </w:t>
            </w:r>
            <w:r w:rsidRPr="00B276E7">
              <w:rPr>
                <w:rFonts w:asciiTheme="majorHAnsi" w:hAnsiTheme="majorHAnsi"/>
                <w:sz w:val="22"/>
                <w:szCs w:val="22"/>
              </w:rPr>
              <w:t xml:space="preserve">bad side effects or </w:t>
            </w:r>
            <w:r w:rsidR="00DC71D9" w:rsidRPr="00B276E7">
              <w:rPr>
                <w:rFonts w:asciiTheme="majorHAnsi" w:hAnsiTheme="majorHAnsi"/>
                <w:sz w:val="22"/>
                <w:szCs w:val="22"/>
              </w:rPr>
              <w:t>the patient’s IBD gets</w:t>
            </w:r>
            <w:r w:rsidRPr="00B276E7">
              <w:rPr>
                <w:rFonts w:asciiTheme="majorHAnsi" w:hAnsiTheme="majorHAnsi"/>
                <w:sz w:val="22"/>
                <w:szCs w:val="22"/>
              </w:rPr>
              <w:t xml:space="preserve"> worse.  </w:t>
            </w:r>
          </w:p>
        </w:tc>
      </w:tr>
      <w:tr w:rsidR="002761E0" w:rsidRPr="00B276E7">
        <w:trPr>
          <w:trHeight w:val="639"/>
          <w:tblCellSpacing w:w="0" w:type="dxa"/>
        </w:trPr>
        <w:tc>
          <w:tcPr>
            <w:tcW w:w="3375" w:type="dxa"/>
            <w:tcBorders>
              <w:top w:val="outset" w:sz="6" w:space="0" w:color="auto"/>
              <w:left w:val="outset" w:sz="6" w:space="0" w:color="auto"/>
              <w:bottom w:val="outset" w:sz="6" w:space="0" w:color="auto"/>
              <w:right w:val="outset" w:sz="6" w:space="0" w:color="auto"/>
            </w:tcBorders>
            <w:tcMar>
              <w:bottom w:w="29" w:type="dxa"/>
            </w:tcMar>
            <w:vAlign w:val="center"/>
          </w:tcPr>
          <w:p w:rsidR="002761E0" w:rsidRPr="00B276E7" w:rsidRDefault="002761E0" w:rsidP="00DC71D9">
            <w:pPr>
              <w:rPr>
                <w:rFonts w:asciiTheme="majorHAnsi" w:hAnsiTheme="majorHAnsi"/>
              </w:rPr>
            </w:pPr>
            <w:r w:rsidRPr="00B276E7">
              <w:rPr>
                <w:rFonts w:asciiTheme="majorHAnsi" w:hAnsiTheme="majorHAnsi"/>
                <w:sz w:val="22"/>
                <w:szCs w:val="22"/>
              </w:rPr>
              <w:t>Day 90 (3 months)</w:t>
            </w:r>
          </w:p>
        </w:tc>
        <w:tc>
          <w:tcPr>
            <w:tcW w:w="6075" w:type="dxa"/>
            <w:tcBorders>
              <w:top w:val="outset" w:sz="6" w:space="0" w:color="auto"/>
              <w:left w:val="outset" w:sz="6" w:space="0" w:color="auto"/>
              <w:bottom w:val="outset" w:sz="6" w:space="0" w:color="auto"/>
              <w:right w:val="outset" w:sz="6" w:space="0" w:color="auto"/>
            </w:tcBorders>
            <w:tcMar>
              <w:bottom w:w="29" w:type="dxa"/>
            </w:tcMar>
            <w:vAlign w:val="center"/>
          </w:tcPr>
          <w:p w:rsidR="002761E0" w:rsidRPr="00B276E7" w:rsidRDefault="00DC71D9" w:rsidP="00DC71D9">
            <w:pPr>
              <w:spacing w:before="100" w:beforeAutospacing="1" w:after="100" w:afterAutospacing="1"/>
              <w:rPr>
                <w:rFonts w:asciiTheme="majorHAnsi" w:hAnsiTheme="majorHAnsi"/>
                <w:i/>
              </w:rPr>
            </w:pPr>
            <w:r w:rsidRPr="00B276E7">
              <w:rPr>
                <w:rFonts w:asciiTheme="majorHAnsi" w:hAnsiTheme="majorHAnsi"/>
                <w:sz w:val="22"/>
                <w:szCs w:val="22"/>
              </w:rPr>
              <w:t>Subject r</w:t>
            </w:r>
            <w:r w:rsidR="002761E0" w:rsidRPr="00B276E7">
              <w:rPr>
                <w:rFonts w:asciiTheme="majorHAnsi" w:hAnsiTheme="majorHAnsi"/>
                <w:sz w:val="22"/>
                <w:szCs w:val="22"/>
              </w:rPr>
              <w:t>eturn</w:t>
            </w:r>
            <w:r w:rsidRPr="00B276E7">
              <w:rPr>
                <w:rFonts w:asciiTheme="majorHAnsi" w:hAnsiTheme="majorHAnsi"/>
                <w:sz w:val="22"/>
                <w:szCs w:val="22"/>
              </w:rPr>
              <w:t>s to the</w:t>
            </w:r>
            <w:r w:rsidR="002761E0" w:rsidRPr="00B276E7">
              <w:rPr>
                <w:rFonts w:asciiTheme="majorHAnsi" w:hAnsiTheme="majorHAnsi"/>
                <w:sz w:val="22"/>
                <w:szCs w:val="22"/>
              </w:rPr>
              <w:t xml:space="preserve"> doctor's office </w:t>
            </w:r>
            <w:r w:rsidRPr="00B276E7">
              <w:rPr>
                <w:rFonts w:asciiTheme="majorHAnsi" w:hAnsiTheme="majorHAnsi"/>
                <w:sz w:val="22"/>
                <w:szCs w:val="22"/>
              </w:rPr>
              <w:t xml:space="preserve">to repeat the </w:t>
            </w:r>
            <w:r w:rsidR="002761E0" w:rsidRPr="00B276E7">
              <w:rPr>
                <w:rFonts w:asciiTheme="majorHAnsi" w:hAnsiTheme="majorHAnsi"/>
                <w:sz w:val="22"/>
                <w:szCs w:val="22"/>
              </w:rPr>
              <w:t xml:space="preserve">blood tests and fill out </w:t>
            </w:r>
            <w:r w:rsidRPr="00B276E7">
              <w:rPr>
                <w:rFonts w:asciiTheme="majorHAnsi" w:hAnsiTheme="majorHAnsi"/>
                <w:sz w:val="22"/>
                <w:szCs w:val="22"/>
              </w:rPr>
              <w:t xml:space="preserve">the IBD </w:t>
            </w:r>
            <w:r w:rsidR="002761E0" w:rsidRPr="00B276E7">
              <w:rPr>
                <w:rFonts w:asciiTheme="majorHAnsi" w:hAnsiTheme="majorHAnsi"/>
                <w:sz w:val="22"/>
                <w:szCs w:val="22"/>
              </w:rPr>
              <w:t>questionnaires.</w:t>
            </w:r>
            <w:r w:rsidRPr="00B276E7">
              <w:rPr>
                <w:rFonts w:asciiTheme="majorHAnsi" w:hAnsiTheme="majorHAnsi"/>
                <w:sz w:val="22"/>
                <w:szCs w:val="22"/>
              </w:rPr>
              <w:t xml:space="preserve"> Compliance will be assessed in this visit.</w:t>
            </w:r>
          </w:p>
        </w:tc>
      </w:tr>
    </w:tbl>
    <w:p w:rsidR="00ED4177" w:rsidRPr="00B276E7" w:rsidRDefault="00ED4177" w:rsidP="00DC71D9">
      <w:pPr>
        <w:pStyle w:val="NormalWeb"/>
        <w:keepNext/>
        <w:rPr>
          <w:rFonts w:asciiTheme="majorHAnsi" w:eastAsia="MS ??" w:hAnsiTheme="majorHAnsi" w:cs="Cambria"/>
          <w:color w:val="auto"/>
          <w:sz w:val="22"/>
          <w:szCs w:val="22"/>
        </w:rPr>
      </w:pPr>
    </w:p>
    <w:p w:rsidR="00ED4177" w:rsidRPr="00B276E7" w:rsidRDefault="00ED4177" w:rsidP="00DC71D9">
      <w:pPr>
        <w:pStyle w:val="NormalWeb"/>
        <w:keepNext/>
        <w:rPr>
          <w:rFonts w:asciiTheme="majorHAnsi" w:eastAsia="MS ??" w:hAnsiTheme="majorHAnsi" w:cs="Cambria"/>
          <w:color w:val="auto"/>
          <w:sz w:val="22"/>
          <w:szCs w:val="22"/>
        </w:rPr>
      </w:pPr>
    </w:p>
    <w:p w:rsidR="00ED4177" w:rsidRPr="00B276E7" w:rsidRDefault="00ED4177" w:rsidP="00DC71D9">
      <w:pPr>
        <w:pStyle w:val="NormalWeb"/>
        <w:keepNext/>
        <w:rPr>
          <w:rFonts w:asciiTheme="majorHAnsi" w:eastAsia="MS ??" w:hAnsiTheme="majorHAnsi" w:cs="Cambria"/>
          <w:color w:val="auto"/>
          <w:sz w:val="22"/>
          <w:szCs w:val="22"/>
        </w:rPr>
      </w:pPr>
    </w:p>
    <w:p w:rsidR="00ED4177" w:rsidRPr="00B276E7" w:rsidRDefault="00ED4177" w:rsidP="00DC71D9">
      <w:pPr>
        <w:pStyle w:val="NormalWeb"/>
        <w:keepNext/>
        <w:rPr>
          <w:rFonts w:asciiTheme="majorHAnsi" w:eastAsia="MS ??" w:hAnsiTheme="majorHAnsi" w:cs="Cambria"/>
          <w:color w:val="auto"/>
          <w:sz w:val="22"/>
          <w:szCs w:val="22"/>
        </w:rPr>
      </w:pPr>
    </w:p>
    <w:p w:rsidR="00ED4177" w:rsidRPr="00B276E7" w:rsidRDefault="00ED4177" w:rsidP="00DC71D9">
      <w:pPr>
        <w:pStyle w:val="NormalWeb"/>
        <w:keepNext/>
        <w:rPr>
          <w:rFonts w:asciiTheme="majorHAnsi" w:eastAsia="MS ??" w:hAnsiTheme="majorHAnsi" w:cs="Cambria"/>
          <w:color w:val="auto"/>
          <w:sz w:val="22"/>
          <w:szCs w:val="22"/>
        </w:rPr>
      </w:pPr>
    </w:p>
    <w:p w:rsidR="00ED4177" w:rsidRPr="00B276E7" w:rsidRDefault="00ED4177" w:rsidP="00DC71D9">
      <w:pPr>
        <w:pStyle w:val="NormalWeb"/>
        <w:keepNext/>
        <w:rPr>
          <w:rFonts w:asciiTheme="majorHAnsi" w:eastAsia="MS ??" w:hAnsiTheme="majorHAnsi" w:cs="Cambria"/>
          <w:color w:val="auto"/>
          <w:sz w:val="22"/>
          <w:szCs w:val="22"/>
        </w:rPr>
      </w:pPr>
    </w:p>
    <w:p w:rsidR="00ED4177" w:rsidRPr="00B276E7" w:rsidRDefault="00ED4177" w:rsidP="00DC71D9">
      <w:pPr>
        <w:pStyle w:val="NormalWeb"/>
        <w:keepNext/>
        <w:rPr>
          <w:rFonts w:asciiTheme="majorHAnsi" w:eastAsia="MS ??" w:hAnsiTheme="majorHAnsi" w:cs="Cambria"/>
          <w:color w:val="auto"/>
          <w:sz w:val="22"/>
          <w:szCs w:val="22"/>
        </w:rPr>
      </w:pPr>
    </w:p>
    <w:p w:rsidR="00DC71D9" w:rsidRPr="00B276E7" w:rsidRDefault="00ED4177" w:rsidP="00DC71D9">
      <w:pPr>
        <w:pStyle w:val="NormalWeb"/>
        <w:keepNext/>
        <w:rPr>
          <w:rFonts w:asciiTheme="majorHAnsi" w:hAnsiTheme="majorHAnsi" w:cs="Times New Roman"/>
          <w:color w:val="auto"/>
          <w:sz w:val="22"/>
          <w:szCs w:val="22"/>
        </w:rPr>
      </w:pPr>
      <w:r w:rsidRPr="00B276E7">
        <w:rPr>
          <w:rFonts w:asciiTheme="majorHAnsi" w:eastAsia="MS ??" w:hAnsiTheme="majorHAnsi" w:cs="Cambria"/>
          <w:color w:val="auto"/>
          <w:sz w:val="22"/>
          <w:szCs w:val="22"/>
        </w:rPr>
        <w:t xml:space="preserve">                                                                                                                                           </w:t>
      </w:r>
      <w:r w:rsidRPr="00B276E7">
        <w:rPr>
          <w:rFonts w:asciiTheme="majorHAnsi" w:eastAsia="MS ??" w:hAnsiTheme="majorHAnsi" w:cs="Cambria"/>
          <w:color w:val="auto"/>
          <w:sz w:val="22"/>
          <w:szCs w:val="22"/>
        </w:rPr>
        <w:tab/>
      </w:r>
      <w:r w:rsidRPr="00B276E7">
        <w:rPr>
          <w:rFonts w:asciiTheme="majorHAnsi" w:eastAsia="MS ??" w:hAnsiTheme="majorHAnsi" w:cs="Cambria"/>
          <w:color w:val="auto"/>
          <w:sz w:val="22"/>
          <w:szCs w:val="22"/>
        </w:rPr>
        <w:tab/>
      </w:r>
      <w:r w:rsidRPr="00B276E7">
        <w:rPr>
          <w:rFonts w:asciiTheme="majorHAnsi" w:eastAsia="MS ??" w:hAnsiTheme="majorHAnsi" w:cs="Cambria"/>
          <w:color w:val="auto"/>
          <w:sz w:val="22"/>
          <w:szCs w:val="22"/>
        </w:rPr>
        <w:tab/>
      </w:r>
      <w:r w:rsidRPr="00B276E7">
        <w:rPr>
          <w:rFonts w:asciiTheme="majorHAnsi" w:eastAsia="MS ??" w:hAnsiTheme="majorHAnsi" w:cs="Cambria"/>
          <w:color w:val="auto"/>
          <w:sz w:val="22"/>
          <w:szCs w:val="22"/>
        </w:rPr>
        <w:tab/>
      </w:r>
      <w:r w:rsidRPr="00B276E7">
        <w:rPr>
          <w:rFonts w:asciiTheme="majorHAnsi" w:eastAsia="MS ??" w:hAnsiTheme="majorHAnsi" w:cs="Cambria"/>
          <w:color w:val="auto"/>
          <w:sz w:val="22"/>
          <w:szCs w:val="22"/>
        </w:rPr>
        <w:tab/>
      </w:r>
      <w:r w:rsidRPr="00B276E7">
        <w:rPr>
          <w:rFonts w:asciiTheme="majorHAnsi" w:eastAsia="MS ??" w:hAnsiTheme="majorHAnsi" w:cs="Cambria"/>
          <w:color w:val="auto"/>
          <w:sz w:val="22"/>
          <w:szCs w:val="22"/>
        </w:rPr>
        <w:tab/>
      </w:r>
      <w:r w:rsidRPr="00B276E7">
        <w:rPr>
          <w:rFonts w:asciiTheme="majorHAnsi" w:eastAsia="MS ??" w:hAnsiTheme="majorHAnsi" w:cs="Cambria"/>
          <w:color w:val="auto"/>
          <w:sz w:val="22"/>
          <w:szCs w:val="22"/>
        </w:rPr>
        <w:tab/>
      </w:r>
      <w:r w:rsidRPr="00B276E7">
        <w:rPr>
          <w:rFonts w:asciiTheme="majorHAnsi" w:eastAsia="MS ??" w:hAnsiTheme="majorHAnsi" w:cs="Cambria"/>
          <w:color w:val="auto"/>
          <w:sz w:val="22"/>
          <w:szCs w:val="22"/>
        </w:rPr>
        <w:tab/>
      </w:r>
      <w:r w:rsidRPr="00B276E7">
        <w:rPr>
          <w:rFonts w:asciiTheme="majorHAnsi" w:eastAsia="MS ??" w:hAnsiTheme="majorHAnsi" w:cs="Cambria"/>
          <w:color w:val="auto"/>
          <w:sz w:val="22"/>
          <w:szCs w:val="22"/>
        </w:rPr>
        <w:tab/>
      </w:r>
      <w:r w:rsidRPr="00B276E7">
        <w:rPr>
          <w:rFonts w:asciiTheme="majorHAnsi" w:eastAsia="MS ??" w:hAnsiTheme="majorHAnsi" w:cs="Cambria"/>
          <w:color w:val="auto"/>
          <w:sz w:val="22"/>
          <w:szCs w:val="22"/>
        </w:rPr>
        <w:tab/>
      </w:r>
      <w:r w:rsidRPr="00B276E7">
        <w:rPr>
          <w:rFonts w:asciiTheme="majorHAnsi" w:eastAsia="MS ??" w:hAnsiTheme="majorHAnsi" w:cs="Cambria"/>
          <w:color w:val="auto"/>
          <w:sz w:val="22"/>
          <w:szCs w:val="22"/>
        </w:rPr>
        <w:tab/>
      </w:r>
      <w:r w:rsidRPr="00B276E7">
        <w:rPr>
          <w:rFonts w:asciiTheme="majorHAnsi" w:eastAsia="MS ??" w:hAnsiTheme="majorHAnsi" w:cs="Cambria"/>
          <w:color w:val="auto"/>
          <w:sz w:val="22"/>
          <w:szCs w:val="22"/>
        </w:rPr>
        <w:tab/>
      </w:r>
      <w:r w:rsidRPr="00B276E7">
        <w:rPr>
          <w:rFonts w:asciiTheme="majorHAnsi" w:eastAsia="MS ??" w:hAnsiTheme="majorHAnsi" w:cs="Cambria"/>
          <w:color w:val="auto"/>
          <w:sz w:val="22"/>
          <w:szCs w:val="22"/>
        </w:rPr>
        <w:tab/>
      </w:r>
      <w:r w:rsidRPr="00B276E7">
        <w:rPr>
          <w:rFonts w:asciiTheme="majorHAnsi" w:eastAsia="MS ??" w:hAnsiTheme="majorHAnsi" w:cs="Cambria"/>
          <w:color w:val="auto"/>
          <w:sz w:val="22"/>
          <w:szCs w:val="22"/>
        </w:rPr>
        <w:tab/>
      </w:r>
      <w:r w:rsidRPr="00B276E7">
        <w:rPr>
          <w:rFonts w:asciiTheme="majorHAnsi" w:eastAsia="MS ??" w:hAnsiTheme="majorHAnsi" w:cs="Cambria"/>
          <w:color w:val="auto"/>
          <w:sz w:val="22"/>
          <w:szCs w:val="22"/>
        </w:rPr>
        <w:tab/>
      </w:r>
      <w:r w:rsidRPr="00B276E7">
        <w:rPr>
          <w:rFonts w:asciiTheme="majorHAnsi" w:eastAsia="MS ??" w:hAnsiTheme="majorHAnsi" w:cs="Cambria"/>
          <w:color w:val="auto"/>
          <w:sz w:val="22"/>
          <w:szCs w:val="22"/>
        </w:rPr>
        <w:tab/>
      </w:r>
      <w:r w:rsidRPr="00B276E7">
        <w:rPr>
          <w:rFonts w:asciiTheme="majorHAnsi" w:eastAsia="MS ??" w:hAnsiTheme="majorHAnsi" w:cs="Cambria"/>
          <w:color w:val="auto"/>
          <w:sz w:val="22"/>
          <w:szCs w:val="22"/>
        </w:rPr>
        <w:tab/>
      </w:r>
      <w:r w:rsidR="00DC71D9" w:rsidRPr="00B276E7">
        <w:rPr>
          <w:rFonts w:asciiTheme="majorHAnsi" w:hAnsiTheme="majorHAnsi" w:cs="Times New Roman"/>
          <w:color w:val="auto"/>
          <w:sz w:val="22"/>
          <w:szCs w:val="22"/>
        </w:rPr>
        <w:t xml:space="preserve">                                                                                                                                                                 </w:t>
      </w:r>
    </w:p>
    <w:p w:rsidR="00DC71D9" w:rsidRPr="00B276E7" w:rsidRDefault="00DC71D9" w:rsidP="009716A4">
      <w:pPr>
        <w:rPr>
          <w:rFonts w:asciiTheme="majorHAnsi" w:hAnsiTheme="majorHAnsi"/>
          <w:sz w:val="22"/>
          <w:szCs w:val="22"/>
        </w:rPr>
      </w:pPr>
    </w:p>
    <w:p w:rsidR="00DC71D9" w:rsidRPr="00B276E7" w:rsidRDefault="00DC71D9" w:rsidP="009716A4">
      <w:pPr>
        <w:rPr>
          <w:rFonts w:asciiTheme="majorHAnsi" w:hAnsiTheme="majorHAnsi"/>
          <w:sz w:val="22"/>
          <w:szCs w:val="22"/>
        </w:rPr>
      </w:pPr>
    </w:p>
    <w:p w:rsidR="00DC71D9" w:rsidRPr="00B276E7" w:rsidRDefault="00DC71D9" w:rsidP="009716A4">
      <w:pPr>
        <w:rPr>
          <w:rFonts w:asciiTheme="majorHAnsi" w:hAnsiTheme="majorHAnsi"/>
          <w:sz w:val="22"/>
          <w:szCs w:val="22"/>
        </w:rPr>
      </w:pPr>
    </w:p>
    <w:p w:rsidR="00ED4177" w:rsidRPr="00B276E7" w:rsidRDefault="00ED4177" w:rsidP="009716A4">
      <w:pPr>
        <w:rPr>
          <w:rFonts w:asciiTheme="majorHAnsi" w:hAnsiTheme="majorHAnsi"/>
          <w:sz w:val="22"/>
          <w:szCs w:val="22"/>
        </w:rPr>
      </w:pPr>
    </w:p>
    <w:p w:rsidR="00ED4177" w:rsidRPr="00B276E7" w:rsidRDefault="00ED4177" w:rsidP="00ED4177">
      <w:pPr>
        <w:pStyle w:val="NormalWeb"/>
        <w:keepNext/>
        <w:rPr>
          <w:rFonts w:asciiTheme="majorHAnsi" w:hAnsiTheme="majorHAnsi" w:cs="Times New Roman"/>
          <w:color w:val="auto"/>
          <w:sz w:val="22"/>
          <w:szCs w:val="2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8587"/>
      </w:tblGrid>
      <w:tr w:rsidR="00ED4177" w:rsidRPr="00B276E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D4177" w:rsidRPr="00B276E7" w:rsidRDefault="00ED4177" w:rsidP="00BC2BF6">
            <w:pPr>
              <w:pStyle w:val="NormalWeb"/>
              <w:keepNext/>
              <w:jc w:val="center"/>
              <w:rPr>
                <w:rFonts w:asciiTheme="majorHAnsi" w:hAnsiTheme="majorHAnsi" w:cs="Times New Roman"/>
                <w:color w:val="auto"/>
                <w:sz w:val="22"/>
                <w:szCs w:val="22"/>
              </w:rPr>
            </w:pPr>
            <w:r w:rsidRPr="00B276E7">
              <w:rPr>
                <w:rStyle w:val="header-a1"/>
                <w:rFonts w:asciiTheme="majorHAnsi" w:hAnsiTheme="majorHAnsi" w:cs="Times New Roman"/>
                <w:color w:val="auto"/>
                <w:sz w:val="22"/>
                <w:szCs w:val="22"/>
              </w:rPr>
              <w:t>IBD patients seen at the GI outpatient clinics get screened for vitamin D deficiency</w:t>
            </w:r>
          </w:p>
        </w:tc>
      </w:tr>
    </w:tbl>
    <w:p w:rsidR="00ED4177" w:rsidRPr="00B276E7" w:rsidRDefault="00ED4177" w:rsidP="00ED4177">
      <w:pPr>
        <w:jc w:val="center"/>
        <w:rPr>
          <w:rFonts w:asciiTheme="majorHAnsi" w:hAnsiTheme="majorHAnsi"/>
          <w:sz w:val="22"/>
          <w:szCs w:val="22"/>
        </w:rPr>
      </w:pPr>
      <w:r w:rsidRPr="00B276E7">
        <w:rPr>
          <w:rFonts w:asciiTheme="majorHAnsi" w:hAnsiTheme="majorHAnsi"/>
          <w:noProof/>
          <w:sz w:val="22"/>
          <w:szCs w:val="22"/>
        </w:rPr>
        <w:drawing>
          <wp:inline distT="0" distB="0" distL="0" distR="0">
            <wp:extent cx="95250" cy="278130"/>
            <wp:effectExtent l="19050" t="0" r="0" b="0"/>
            <wp:docPr id="10" name="Picture 10" descr="http://www.cancer.gov/images/Documents/5fca4dc5-b6a7-4272-be96-b489f23022e5/down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ancer.gov/images/Documents/5fca4dc5-b6a7-4272-be96-b489f23022e5/downarrow.gif"/>
                    <pic:cNvPicPr>
                      <a:picLocks noChangeAspect="1" noChangeArrowheads="1"/>
                    </pic:cNvPicPr>
                  </pic:nvPicPr>
                  <pic:blipFill>
                    <a:blip r:embed="rId7" r:link="rId8"/>
                    <a:srcRect/>
                    <a:stretch>
                      <a:fillRect/>
                    </a:stretch>
                  </pic:blipFill>
                  <pic:spPr bwMode="auto">
                    <a:xfrm>
                      <a:off x="0" y="0"/>
                      <a:ext cx="95250" cy="278130"/>
                    </a:xfrm>
                    <a:prstGeom prst="rect">
                      <a:avLst/>
                    </a:prstGeom>
                    <a:noFill/>
                    <a:ln w="9525">
                      <a:noFill/>
                      <a:miter lim="800000"/>
                      <a:headEnd/>
                      <a:tailEnd/>
                    </a:ln>
                  </pic:spPr>
                </pic:pic>
              </a:graphicData>
            </a:graphic>
          </wp:inline>
        </w:drawing>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7966"/>
      </w:tblGrid>
      <w:tr w:rsidR="00ED4177" w:rsidRPr="00B276E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D4177" w:rsidRPr="00B276E7" w:rsidRDefault="00ED4177" w:rsidP="00BC2BF6">
            <w:pPr>
              <w:rPr>
                <w:rFonts w:asciiTheme="majorHAnsi" w:hAnsiTheme="majorHAnsi"/>
                <w:b/>
                <w:bCs/>
              </w:rPr>
            </w:pPr>
            <w:r w:rsidRPr="00B276E7">
              <w:rPr>
                <w:rFonts w:asciiTheme="majorHAnsi" w:hAnsiTheme="majorHAnsi"/>
                <w:b/>
                <w:bCs/>
                <w:sz w:val="22"/>
                <w:szCs w:val="22"/>
              </w:rPr>
              <w:t xml:space="preserve">Patients with IBD and vitamin D deficiency are identified and then screened </w:t>
            </w:r>
          </w:p>
          <w:p w:rsidR="00ED4177" w:rsidRPr="00B276E7" w:rsidRDefault="00ED4177" w:rsidP="00BC2BF6">
            <w:pPr>
              <w:rPr>
                <w:rFonts w:asciiTheme="majorHAnsi" w:hAnsiTheme="majorHAnsi"/>
              </w:rPr>
            </w:pPr>
            <w:r w:rsidRPr="00B276E7">
              <w:rPr>
                <w:rFonts w:asciiTheme="majorHAnsi" w:hAnsiTheme="majorHAnsi"/>
                <w:b/>
                <w:bCs/>
                <w:sz w:val="22"/>
                <w:szCs w:val="22"/>
              </w:rPr>
              <w:t>for enrollment into the study</w:t>
            </w:r>
          </w:p>
        </w:tc>
      </w:tr>
    </w:tbl>
    <w:p w:rsidR="00ED4177" w:rsidRPr="00B276E7" w:rsidRDefault="00ED4177" w:rsidP="00ED4177">
      <w:pPr>
        <w:jc w:val="center"/>
        <w:rPr>
          <w:rFonts w:asciiTheme="majorHAnsi" w:hAnsiTheme="majorHAnsi"/>
          <w:sz w:val="22"/>
          <w:szCs w:val="22"/>
        </w:rPr>
      </w:pPr>
      <w:r w:rsidRPr="00B276E7">
        <w:rPr>
          <w:rFonts w:asciiTheme="majorHAnsi" w:hAnsiTheme="majorHAnsi"/>
          <w:noProof/>
          <w:sz w:val="22"/>
          <w:szCs w:val="22"/>
        </w:rPr>
        <w:drawing>
          <wp:inline distT="0" distB="0" distL="0" distR="0">
            <wp:extent cx="95250" cy="278130"/>
            <wp:effectExtent l="19050" t="0" r="0" b="0"/>
            <wp:docPr id="11" name="Picture 11" descr="http://www.cancer.gov/images/Documents/5fca4dc5-b6a7-4272-be96-b489f23022e5/down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ancer.gov/images/Documents/5fca4dc5-b6a7-4272-be96-b489f23022e5/downarrow.gif"/>
                    <pic:cNvPicPr>
                      <a:picLocks noChangeAspect="1" noChangeArrowheads="1"/>
                    </pic:cNvPicPr>
                  </pic:nvPicPr>
                  <pic:blipFill>
                    <a:blip r:embed="rId7" r:link="rId8"/>
                    <a:srcRect/>
                    <a:stretch>
                      <a:fillRect/>
                    </a:stretch>
                  </pic:blipFill>
                  <pic:spPr bwMode="auto">
                    <a:xfrm>
                      <a:off x="0" y="0"/>
                      <a:ext cx="95250" cy="278130"/>
                    </a:xfrm>
                    <a:prstGeom prst="rect">
                      <a:avLst/>
                    </a:prstGeom>
                    <a:noFill/>
                    <a:ln w="9525">
                      <a:noFill/>
                      <a:miter lim="800000"/>
                      <a:headEnd/>
                      <a:tailEnd/>
                    </a:ln>
                  </pic:spPr>
                </pic:pic>
              </a:graphicData>
            </a:graphic>
          </wp:inline>
        </w:drawing>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5711"/>
      </w:tblGrid>
      <w:tr w:rsidR="00ED4177" w:rsidRPr="00B276E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D4177" w:rsidRPr="00B276E7" w:rsidRDefault="00ED4177" w:rsidP="00BC2BF6">
            <w:pPr>
              <w:pStyle w:val="NormalWeb"/>
              <w:jc w:val="center"/>
              <w:rPr>
                <w:rFonts w:asciiTheme="majorHAnsi" w:hAnsiTheme="majorHAnsi" w:cs="Times New Roman"/>
                <w:b/>
                <w:bCs/>
                <w:color w:val="auto"/>
                <w:sz w:val="22"/>
                <w:szCs w:val="22"/>
                <w:u w:val="single"/>
              </w:rPr>
            </w:pPr>
            <w:r w:rsidRPr="00B276E7">
              <w:rPr>
                <w:rFonts w:asciiTheme="majorHAnsi" w:hAnsiTheme="majorHAnsi" w:cs="Times New Roman"/>
                <w:b/>
                <w:bCs/>
                <w:color w:val="auto"/>
                <w:sz w:val="22"/>
                <w:szCs w:val="22"/>
                <w:u w:val="single"/>
              </w:rPr>
              <w:t>At the time of enrollment into the study:</w:t>
            </w:r>
          </w:p>
          <w:p w:rsidR="00ED4177" w:rsidRPr="00B276E7" w:rsidRDefault="00ED4177" w:rsidP="00BC2BF6">
            <w:pPr>
              <w:pStyle w:val="NormalWeb"/>
              <w:jc w:val="center"/>
              <w:rPr>
                <w:rFonts w:asciiTheme="majorHAnsi" w:hAnsiTheme="majorHAnsi" w:cs="Times New Roman"/>
                <w:b/>
                <w:bCs/>
                <w:color w:val="auto"/>
                <w:sz w:val="22"/>
                <w:szCs w:val="22"/>
              </w:rPr>
            </w:pPr>
            <w:r w:rsidRPr="00B276E7">
              <w:rPr>
                <w:rFonts w:asciiTheme="majorHAnsi" w:hAnsiTheme="majorHAnsi" w:cs="Times New Roman"/>
                <w:b/>
                <w:bCs/>
                <w:color w:val="auto"/>
                <w:sz w:val="22"/>
                <w:szCs w:val="22"/>
              </w:rPr>
              <w:t xml:space="preserve">Blood draws for labs and 2 questionnaires completed </w:t>
            </w:r>
          </w:p>
          <w:p w:rsidR="00ED4177" w:rsidRPr="00B276E7" w:rsidRDefault="00ED4177" w:rsidP="00BC2BF6">
            <w:pPr>
              <w:pStyle w:val="NormalWeb"/>
              <w:jc w:val="center"/>
              <w:rPr>
                <w:rFonts w:asciiTheme="majorHAnsi" w:hAnsiTheme="majorHAnsi" w:cs="Times New Roman"/>
                <w:b/>
                <w:bCs/>
                <w:color w:val="auto"/>
                <w:sz w:val="22"/>
                <w:szCs w:val="22"/>
              </w:rPr>
            </w:pPr>
            <w:r w:rsidRPr="00B276E7">
              <w:rPr>
                <w:rFonts w:asciiTheme="majorHAnsi" w:hAnsiTheme="majorHAnsi" w:cs="Times New Roman"/>
                <w:b/>
                <w:bCs/>
                <w:color w:val="auto"/>
                <w:sz w:val="22"/>
                <w:szCs w:val="22"/>
              </w:rPr>
              <w:t>and</w:t>
            </w:r>
          </w:p>
          <w:p w:rsidR="00ED4177" w:rsidRPr="00B276E7" w:rsidRDefault="00ED4177" w:rsidP="00BC2BF6">
            <w:pPr>
              <w:pStyle w:val="NormalWeb"/>
              <w:rPr>
                <w:rFonts w:asciiTheme="majorHAnsi" w:hAnsiTheme="majorHAnsi" w:cs="Times New Roman"/>
                <w:b/>
                <w:bCs/>
                <w:color w:val="auto"/>
                <w:sz w:val="22"/>
                <w:szCs w:val="22"/>
              </w:rPr>
            </w:pPr>
            <w:r w:rsidRPr="00B276E7">
              <w:rPr>
                <w:rFonts w:asciiTheme="majorHAnsi" w:hAnsiTheme="majorHAnsi" w:cs="Times New Roman"/>
                <w:b/>
                <w:bCs/>
                <w:color w:val="auto"/>
                <w:sz w:val="22"/>
                <w:szCs w:val="22"/>
              </w:rPr>
              <w:t xml:space="preserve">    All patients receive </w:t>
            </w:r>
            <w:r w:rsidRPr="00B276E7">
              <w:rPr>
                <w:rFonts w:asciiTheme="majorHAnsi" w:hAnsiTheme="majorHAnsi" w:cs="Times New Roman"/>
                <w:b/>
                <w:bCs/>
                <w:i/>
                <w:color w:val="auto"/>
                <w:sz w:val="22"/>
                <w:szCs w:val="22"/>
              </w:rPr>
              <w:t>Vitamin D supplementation</w:t>
            </w:r>
          </w:p>
        </w:tc>
      </w:tr>
    </w:tbl>
    <w:p w:rsidR="00ED4177" w:rsidRPr="00B276E7" w:rsidRDefault="00ED4177" w:rsidP="00ED4177">
      <w:pPr>
        <w:jc w:val="center"/>
        <w:rPr>
          <w:rFonts w:asciiTheme="majorHAnsi" w:hAnsiTheme="majorHAnsi"/>
          <w:sz w:val="22"/>
          <w:szCs w:val="22"/>
        </w:rPr>
      </w:pPr>
      <w:r w:rsidRPr="00B276E7">
        <w:rPr>
          <w:rFonts w:asciiTheme="majorHAnsi" w:hAnsiTheme="majorHAnsi"/>
          <w:noProof/>
          <w:sz w:val="22"/>
          <w:szCs w:val="22"/>
        </w:rPr>
        <w:drawing>
          <wp:inline distT="0" distB="0" distL="0" distR="0">
            <wp:extent cx="95250" cy="278130"/>
            <wp:effectExtent l="19050" t="0" r="0" b="0"/>
            <wp:docPr id="12" name="Picture 12" descr="http://www.cancer.gov/images/Documents/5fca4dc5-b6a7-4272-be96-b489f23022e5/down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ancer.gov/images/Documents/5fca4dc5-b6a7-4272-be96-b489f23022e5/downarrow.gif"/>
                    <pic:cNvPicPr>
                      <a:picLocks noChangeAspect="1" noChangeArrowheads="1"/>
                    </pic:cNvPicPr>
                  </pic:nvPicPr>
                  <pic:blipFill>
                    <a:blip r:embed="rId7" r:link="rId8"/>
                    <a:srcRect/>
                    <a:stretch>
                      <a:fillRect/>
                    </a:stretch>
                  </pic:blipFill>
                  <pic:spPr bwMode="auto">
                    <a:xfrm>
                      <a:off x="0" y="0"/>
                      <a:ext cx="95250" cy="278130"/>
                    </a:xfrm>
                    <a:prstGeom prst="rect">
                      <a:avLst/>
                    </a:prstGeom>
                    <a:noFill/>
                    <a:ln w="9525">
                      <a:noFill/>
                      <a:miter lim="800000"/>
                      <a:headEnd/>
                      <a:tailEnd/>
                    </a:ln>
                  </pic:spPr>
                </pic:pic>
              </a:graphicData>
            </a:graphic>
          </wp:inline>
        </w:drawing>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3754"/>
      </w:tblGrid>
      <w:tr w:rsidR="00ED4177" w:rsidRPr="00B276E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D4177" w:rsidRPr="00B276E7" w:rsidRDefault="00ED4177" w:rsidP="00BC2BF6">
            <w:pPr>
              <w:pStyle w:val="NormalWeb"/>
              <w:jc w:val="center"/>
              <w:rPr>
                <w:rFonts w:asciiTheme="majorHAnsi" w:hAnsiTheme="majorHAnsi" w:cs="Times New Roman"/>
                <w:b/>
                <w:bCs/>
                <w:i/>
                <w:color w:val="auto"/>
                <w:sz w:val="22"/>
                <w:szCs w:val="22"/>
              </w:rPr>
            </w:pPr>
            <w:r w:rsidRPr="00B276E7">
              <w:rPr>
                <w:rFonts w:asciiTheme="majorHAnsi" w:hAnsiTheme="majorHAnsi" w:cs="Times New Roman"/>
                <w:b/>
                <w:bCs/>
                <w:i/>
                <w:color w:val="auto"/>
                <w:sz w:val="22"/>
                <w:szCs w:val="22"/>
              </w:rPr>
              <w:t>Randomize</w:t>
            </w:r>
          </w:p>
          <w:p w:rsidR="00ED4177" w:rsidRPr="00B276E7" w:rsidRDefault="00ED4177" w:rsidP="00BC2BF6">
            <w:pPr>
              <w:pStyle w:val="NormalWeb"/>
              <w:jc w:val="center"/>
              <w:rPr>
                <w:rFonts w:asciiTheme="majorHAnsi" w:hAnsiTheme="majorHAnsi" w:cs="Times New Roman"/>
                <w:b/>
                <w:bCs/>
                <w:color w:val="auto"/>
                <w:sz w:val="22"/>
                <w:szCs w:val="22"/>
              </w:rPr>
            </w:pPr>
            <w:r w:rsidRPr="00B276E7">
              <w:rPr>
                <w:rFonts w:asciiTheme="majorHAnsi" w:hAnsiTheme="majorHAnsi" w:cs="Times New Roman"/>
                <w:b/>
                <w:bCs/>
                <w:i/>
                <w:color w:val="auto"/>
                <w:sz w:val="22"/>
                <w:szCs w:val="22"/>
              </w:rPr>
              <w:t>(You will be in Group 1 or Group 2)</w:t>
            </w:r>
          </w:p>
        </w:tc>
      </w:tr>
    </w:tbl>
    <w:p w:rsidR="00ED4177" w:rsidRPr="00B276E7" w:rsidRDefault="00ED4177" w:rsidP="00ED4177">
      <w:pPr>
        <w:jc w:val="center"/>
        <w:rPr>
          <w:rFonts w:asciiTheme="majorHAnsi" w:hAnsiTheme="majorHAnsi"/>
          <w:sz w:val="22"/>
          <w:szCs w:val="22"/>
        </w:rPr>
      </w:pPr>
      <w:r w:rsidRPr="00B276E7">
        <w:rPr>
          <w:rFonts w:asciiTheme="majorHAnsi" w:hAnsiTheme="majorHAnsi"/>
          <w:noProof/>
          <w:sz w:val="22"/>
          <w:szCs w:val="22"/>
        </w:rPr>
        <w:drawing>
          <wp:inline distT="0" distB="0" distL="0" distR="0">
            <wp:extent cx="2043430" cy="341630"/>
            <wp:effectExtent l="19050" t="0" r="0" b="0"/>
            <wp:docPr id="13" name="Picture 13" descr="http://www.cancer.gov/images/Documents/5fca4dc5-b6a7-4272-be96-b489f23022e5/varr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ancer.gov/images/Documents/5fca4dc5-b6a7-4272-be96-b489f23022e5/varrows.jpg"/>
                    <pic:cNvPicPr>
                      <a:picLocks noChangeAspect="1" noChangeArrowheads="1"/>
                    </pic:cNvPicPr>
                  </pic:nvPicPr>
                  <pic:blipFill>
                    <a:blip r:embed="rId9" r:link="rId10"/>
                    <a:srcRect/>
                    <a:stretch>
                      <a:fillRect/>
                    </a:stretch>
                  </pic:blipFill>
                  <pic:spPr bwMode="auto">
                    <a:xfrm>
                      <a:off x="0" y="0"/>
                      <a:ext cx="2043430" cy="341630"/>
                    </a:xfrm>
                    <a:prstGeom prst="rect">
                      <a:avLst/>
                    </a:prstGeom>
                    <a:noFill/>
                    <a:ln w="9525">
                      <a:noFill/>
                      <a:miter lim="800000"/>
                      <a:headEnd/>
                      <a:tailEnd/>
                    </a:ln>
                  </pic:spPr>
                </pic:pic>
              </a:graphicData>
            </a:graphic>
          </wp:inline>
        </w:drawing>
      </w:r>
    </w:p>
    <w:tbl>
      <w:tblPr>
        <w:tblW w:w="8562" w:type="dxa"/>
        <w:jc w:val="center"/>
        <w:tblCellSpacing w:w="0" w:type="dxa"/>
        <w:tblCellMar>
          <w:top w:w="150" w:type="dxa"/>
          <w:left w:w="150" w:type="dxa"/>
          <w:bottom w:w="150" w:type="dxa"/>
          <w:right w:w="150" w:type="dxa"/>
        </w:tblCellMar>
        <w:tblLook w:val="0000"/>
      </w:tblPr>
      <w:tblGrid>
        <w:gridCol w:w="3992"/>
        <w:gridCol w:w="577"/>
        <w:gridCol w:w="3993"/>
      </w:tblGrid>
      <w:tr w:rsidR="00ED4177" w:rsidRPr="00B276E7">
        <w:trPr>
          <w:trHeight w:val="1875"/>
          <w:tblCellSpacing w:w="0" w:type="dxa"/>
          <w:jc w:val="center"/>
        </w:trPr>
        <w:tc>
          <w:tcPr>
            <w:tcW w:w="0" w:type="auto"/>
          </w:tcPr>
          <w:tbl>
            <w:tblPr>
              <w:tblW w:w="3620"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3620"/>
            </w:tblGrid>
            <w:tr w:rsidR="00ED4177" w:rsidRPr="00B276E7">
              <w:trPr>
                <w:trHeight w:val="625"/>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D4177" w:rsidRPr="00B276E7" w:rsidRDefault="00ED4177" w:rsidP="00BC2BF6">
                  <w:pPr>
                    <w:pStyle w:val="NormalWeb"/>
                    <w:jc w:val="center"/>
                    <w:rPr>
                      <w:rFonts w:asciiTheme="majorHAnsi" w:hAnsiTheme="majorHAnsi" w:cs="Times New Roman"/>
                      <w:i/>
                      <w:color w:val="auto"/>
                      <w:sz w:val="22"/>
                      <w:szCs w:val="22"/>
                    </w:rPr>
                  </w:pPr>
                  <w:r w:rsidRPr="00B276E7">
                    <w:rPr>
                      <w:rStyle w:val="header-a1"/>
                      <w:rFonts w:asciiTheme="majorHAnsi" w:hAnsiTheme="majorHAnsi" w:cs="Times New Roman"/>
                      <w:i/>
                      <w:color w:val="auto"/>
                      <w:sz w:val="22"/>
                      <w:szCs w:val="22"/>
                    </w:rPr>
                    <w:t>Group 1</w:t>
                  </w:r>
                </w:p>
                <w:p w:rsidR="00ED4177" w:rsidRPr="00B276E7" w:rsidRDefault="00ED4177" w:rsidP="00BC2BF6">
                  <w:pPr>
                    <w:pStyle w:val="NormalWeb"/>
                    <w:jc w:val="center"/>
                    <w:rPr>
                      <w:rFonts w:asciiTheme="majorHAnsi" w:hAnsiTheme="majorHAnsi" w:cs="Times New Roman"/>
                      <w:b/>
                      <w:bCs/>
                      <w:color w:val="auto"/>
                      <w:sz w:val="22"/>
                      <w:szCs w:val="22"/>
                    </w:rPr>
                  </w:pPr>
                  <w:r w:rsidRPr="00B276E7">
                    <w:rPr>
                      <w:rFonts w:asciiTheme="majorHAnsi" w:hAnsiTheme="majorHAnsi" w:cs="Times New Roman"/>
                      <w:b/>
                      <w:bCs/>
                      <w:i/>
                      <w:color w:val="auto"/>
                      <w:sz w:val="22"/>
                      <w:szCs w:val="22"/>
                    </w:rPr>
                    <w:t>Vitamin D 2,000 IU for 3 months</w:t>
                  </w:r>
                </w:p>
              </w:tc>
            </w:tr>
          </w:tbl>
          <w:p w:rsidR="00ED4177" w:rsidRPr="00B276E7" w:rsidRDefault="00F50B22" w:rsidP="00BC2BF6">
            <w:pPr>
              <w:jc w:val="center"/>
              <w:rPr>
                <w:rFonts w:asciiTheme="majorHAnsi" w:hAnsiTheme="majorHAnsi"/>
              </w:rPr>
            </w:pPr>
            <w:r w:rsidRPr="00F50B22">
              <w:rPr>
                <w:rFonts w:asciiTheme="majorHAnsi" w:hAnsiTheme="majorHAnsi"/>
                <w:noProof/>
                <w:sz w:val="22"/>
                <w:szCs w:val="22"/>
              </w:rPr>
              <w:pict>
                <v:shapetype id="_x0000_t32" coordsize="21600,21600" o:spt="32" o:oned="t" path="m0,0l21600,21600e" filled="f">
                  <v:path arrowok="t" fillok="f" o:connecttype="none"/>
                  <o:lock v:ext="edit" shapetype="t"/>
                </v:shapetype>
                <v:shape id="_x0000_s1031" type="#_x0000_t32" style="position:absolute;left:0;text-align:left;margin-left:143.55pt;margin-top:-.5pt;width:67.2pt;height:100.2pt;z-index:251664384;mso-position-horizontal-relative:text;mso-position-vertical-relative:text" o:connectortype="straight">
                  <v:stroke endarrow="block"/>
                </v:shape>
              </w:pict>
            </w:r>
          </w:p>
        </w:tc>
        <w:tc>
          <w:tcPr>
            <w:tcW w:w="0" w:type="auto"/>
            <w:vAlign w:val="center"/>
          </w:tcPr>
          <w:p w:rsidR="00ED4177" w:rsidRPr="00B276E7" w:rsidRDefault="00F50B22" w:rsidP="00BC2BF6">
            <w:pPr>
              <w:rPr>
                <w:rFonts w:asciiTheme="majorHAnsi" w:hAnsiTheme="majorHAnsi"/>
              </w:rPr>
            </w:pPr>
            <w:r w:rsidRPr="00F50B22">
              <w:rPr>
                <w:rFonts w:asciiTheme="majorHAnsi" w:hAnsiTheme="majorHAnsi"/>
                <w:noProof/>
                <w:sz w:val="22"/>
                <w:szCs w:val="22"/>
              </w:rPr>
              <w:pict>
                <v:shape id="_x0000_s1032" type="#_x0000_t32" style="position:absolute;margin-left:11.85pt;margin-top:90.3pt;width:100.2pt;height:69pt;flip:x;z-index:251665408;mso-position-horizontal-relative:text;mso-position-vertical-relative:text" o:connectortype="straight">
                  <v:stroke endarrow="block"/>
                </v:shape>
              </w:pict>
            </w:r>
            <w:r w:rsidR="00ED4177" w:rsidRPr="00B276E7">
              <w:rPr>
                <w:rFonts w:asciiTheme="majorHAnsi" w:hAnsiTheme="majorHAnsi"/>
                <w:sz w:val="22"/>
                <w:szCs w:val="22"/>
              </w:rPr>
              <w:t>     </w:t>
            </w:r>
          </w:p>
        </w:tc>
        <w:tc>
          <w:tcPr>
            <w:tcW w:w="0" w:type="auto"/>
            <w:vAlign w:val="center"/>
          </w:tcPr>
          <w:tbl>
            <w:tblPr>
              <w:tblW w:w="3620"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3620"/>
            </w:tblGrid>
            <w:tr w:rsidR="00ED4177" w:rsidRPr="00B276E7">
              <w:trPr>
                <w:trHeight w:val="961"/>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ED4177" w:rsidRPr="00B276E7" w:rsidRDefault="00ED4177" w:rsidP="00BC2BF6">
                  <w:pPr>
                    <w:pStyle w:val="NormalWeb"/>
                    <w:jc w:val="center"/>
                    <w:rPr>
                      <w:rFonts w:asciiTheme="majorHAnsi" w:hAnsiTheme="majorHAnsi" w:cs="Times New Roman"/>
                      <w:i/>
                      <w:color w:val="auto"/>
                      <w:sz w:val="22"/>
                      <w:szCs w:val="22"/>
                    </w:rPr>
                  </w:pPr>
                  <w:r w:rsidRPr="00B276E7">
                    <w:rPr>
                      <w:rStyle w:val="header-a1"/>
                      <w:rFonts w:asciiTheme="majorHAnsi" w:hAnsiTheme="majorHAnsi" w:cs="Times New Roman"/>
                      <w:i/>
                      <w:color w:val="auto"/>
                      <w:sz w:val="22"/>
                      <w:szCs w:val="22"/>
                    </w:rPr>
                    <w:t>Group 2</w:t>
                  </w:r>
                </w:p>
                <w:p w:rsidR="00ED4177" w:rsidRPr="00B276E7" w:rsidRDefault="00ED4177" w:rsidP="00BC2BF6">
                  <w:pPr>
                    <w:pStyle w:val="NormalWeb"/>
                    <w:jc w:val="center"/>
                    <w:rPr>
                      <w:rFonts w:asciiTheme="majorHAnsi" w:hAnsiTheme="majorHAnsi" w:cs="Times New Roman"/>
                      <w:b/>
                      <w:bCs/>
                      <w:i/>
                      <w:color w:val="auto"/>
                      <w:sz w:val="22"/>
                      <w:szCs w:val="22"/>
                    </w:rPr>
                  </w:pPr>
                  <w:r w:rsidRPr="00B276E7">
                    <w:rPr>
                      <w:rFonts w:asciiTheme="majorHAnsi" w:hAnsiTheme="majorHAnsi" w:cs="Times New Roman"/>
                      <w:b/>
                      <w:bCs/>
                      <w:i/>
                      <w:color w:val="auto"/>
                      <w:sz w:val="22"/>
                      <w:szCs w:val="22"/>
                    </w:rPr>
                    <w:t>Vitamin D 4,000 IU for 3 months</w:t>
                  </w:r>
                </w:p>
                <w:p w:rsidR="00ED4177" w:rsidRPr="00B276E7" w:rsidRDefault="00ED4177" w:rsidP="00BC2BF6">
                  <w:pPr>
                    <w:pStyle w:val="NormalWeb"/>
                    <w:jc w:val="center"/>
                    <w:rPr>
                      <w:rFonts w:asciiTheme="majorHAnsi" w:hAnsiTheme="majorHAnsi" w:cs="Times New Roman"/>
                      <w:b/>
                      <w:bCs/>
                      <w:color w:val="auto"/>
                      <w:sz w:val="22"/>
                      <w:szCs w:val="22"/>
                    </w:rPr>
                  </w:pPr>
                  <w:r w:rsidRPr="00B276E7">
                    <w:rPr>
                      <w:rFonts w:asciiTheme="majorHAnsi" w:hAnsiTheme="majorHAnsi" w:cs="Times New Roman"/>
                      <w:b/>
                      <w:bCs/>
                      <w:color w:val="auto"/>
                      <w:sz w:val="22"/>
                      <w:szCs w:val="22"/>
                    </w:rPr>
                    <w:t xml:space="preserve">                                </w:t>
                  </w:r>
                </w:p>
              </w:tc>
            </w:tr>
          </w:tbl>
          <w:p w:rsidR="00ED4177" w:rsidRPr="00B276E7" w:rsidRDefault="00ED4177" w:rsidP="00BC2BF6">
            <w:pPr>
              <w:jc w:val="center"/>
              <w:rPr>
                <w:rFonts w:asciiTheme="majorHAnsi" w:hAnsiTheme="majorHAnsi"/>
              </w:rPr>
            </w:pPr>
          </w:p>
        </w:tc>
      </w:tr>
    </w:tbl>
    <w:p w:rsidR="00ED4177" w:rsidRPr="00B276E7" w:rsidRDefault="00ED4177" w:rsidP="00ED4177">
      <w:pPr>
        <w:pStyle w:val="NormalWeb"/>
        <w:rPr>
          <w:rStyle w:val="header-a1"/>
          <w:rFonts w:eastAsia="MS ??"/>
        </w:rPr>
      </w:pPr>
    </w:p>
    <w:p w:rsidR="00ED4177" w:rsidRPr="00B276E7" w:rsidRDefault="00F50B22" w:rsidP="00ED4177">
      <w:pPr>
        <w:pStyle w:val="NormalWeb"/>
        <w:rPr>
          <w:rStyle w:val="header-a1"/>
        </w:rPr>
      </w:pPr>
      <w:r w:rsidRPr="00F50B22">
        <w:rPr>
          <w:rFonts w:asciiTheme="majorHAnsi" w:hAnsiTheme="majorHAnsi" w:cs="Times New Roman"/>
          <w:b/>
          <w:bCs/>
          <w:noProof/>
          <w:color w:val="auto"/>
          <w:sz w:val="22"/>
          <w:szCs w:val="22"/>
        </w:rPr>
        <w:pict>
          <v:rect id="_x0000_s1033" style="position:absolute;margin-left:66pt;margin-top:15.1pt;width:378.6pt;height:82.8pt;z-index:251666432">
            <v:textbox>
              <w:txbxContent>
                <w:p w:rsidR="00ED4177" w:rsidRDefault="00ED4177" w:rsidP="00ED4177"/>
                <w:p w:rsidR="00ED4177" w:rsidRPr="00247623" w:rsidRDefault="00ED4177" w:rsidP="00ED4177">
                  <w:pPr>
                    <w:rPr>
                      <w:b/>
                    </w:rPr>
                  </w:pPr>
                  <w:r w:rsidRPr="00247623">
                    <w:rPr>
                      <w:b/>
                    </w:rPr>
                    <w:t>At the end of 3 months, you will be asked to come in for repeat:</w:t>
                  </w:r>
                </w:p>
                <w:p w:rsidR="00ED4177" w:rsidRPr="00247623" w:rsidRDefault="00ED4177" w:rsidP="00ED4177">
                  <w:pPr>
                    <w:numPr>
                      <w:ilvl w:val="0"/>
                      <w:numId w:val="9"/>
                    </w:numPr>
                    <w:rPr>
                      <w:b/>
                    </w:rPr>
                  </w:pPr>
                  <w:r w:rsidRPr="00247623">
                    <w:rPr>
                      <w:b/>
                    </w:rPr>
                    <w:t>Blood work</w:t>
                  </w:r>
                </w:p>
                <w:p w:rsidR="00ED4177" w:rsidRDefault="00ED4177" w:rsidP="00ED4177">
                  <w:pPr>
                    <w:numPr>
                      <w:ilvl w:val="0"/>
                      <w:numId w:val="9"/>
                    </w:numPr>
                    <w:rPr>
                      <w:b/>
                    </w:rPr>
                  </w:pPr>
                  <w:r w:rsidRPr="00247623">
                    <w:rPr>
                      <w:b/>
                    </w:rPr>
                    <w:t>Questionnaires- IBD activity, Quality of life</w:t>
                  </w:r>
                </w:p>
                <w:p w:rsidR="00ED4177" w:rsidRPr="00247623" w:rsidRDefault="00ED4177" w:rsidP="00ED4177">
                  <w:pPr>
                    <w:numPr>
                      <w:ilvl w:val="0"/>
                      <w:numId w:val="9"/>
                    </w:numPr>
                    <w:rPr>
                      <w:b/>
                    </w:rPr>
                  </w:pPr>
                  <w:r>
                    <w:rPr>
                      <w:b/>
                    </w:rPr>
                    <w:t>Pill counting to assess compliance</w:t>
                  </w:r>
                </w:p>
              </w:txbxContent>
            </v:textbox>
          </v:rect>
        </w:pict>
      </w:r>
    </w:p>
    <w:p w:rsidR="00ED4177" w:rsidRPr="00B276E7" w:rsidRDefault="00ED4177" w:rsidP="00ED4177">
      <w:pPr>
        <w:pStyle w:val="NormalWeb"/>
        <w:rPr>
          <w:rStyle w:val="header-a1"/>
          <w:rFonts w:asciiTheme="majorHAnsi" w:hAnsiTheme="majorHAnsi" w:cs="Times New Roman"/>
          <w:b w:val="0"/>
          <w:bCs w:val="0"/>
          <w:color w:val="auto"/>
          <w:sz w:val="22"/>
          <w:szCs w:val="22"/>
        </w:rPr>
      </w:pPr>
    </w:p>
    <w:p w:rsidR="00ED4177" w:rsidRPr="00B276E7" w:rsidRDefault="00ED4177" w:rsidP="00ED4177">
      <w:pPr>
        <w:pStyle w:val="NormalWeb"/>
        <w:rPr>
          <w:rStyle w:val="header-a1"/>
        </w:rPr>
      </w:pPr>
    </w:p>
    <w:p w:rsidR="00ED4177" w:rsidRPr="00B276E7" w:rsidRDefault="00ED4177" w:rsidP="009716A4">
      <w:pPr>
        <w:rPr>
          <w:rFonts w:asciiTheme="majorHAnsi" w:hAnsiTheme="majorHAnsi"/>
          <w:sz w:val="22"/>
          <w:szCs w:val="22"/>
        </w:rPr>
      </w:pPr>
    </w:p>
    <w:p w:rsidR="00526E32" w:rsidRPr="00B276E7" w:rsidRDefault="00526E32" w:rsidP="009716A4">
      <w:pPr>
        <w:rPr>
          <w:rFonts w:asciiTheme="majorHAnsi" w:hAnsiTheme="majorHAnsi"/>
          <w:sz w:val="22"/>
          <w:szCs w:val="22"/>
        </w:rPr>
      </w:pPr>
    </w:p>
    <w:p w:rsidR="00DE55F5" w:rsidRDefault="00DE55F5" w:rsidP="009716A4">
      <w:pPr>
        <w:rPr>
          <w:rFonts w:asciiTheme="majorHAnsi" w:hAnsiTheme="majorHAnsi"/>
          <w:b/>
          <w:bCs/>
          <w:sz w:val="22"/>
          <w:szCs w:val="22"/>
        </w:rPr>
      </w:pPr>
    </w:p>
    <w:p w:rsidR="00DE55F5" w:rsidRDefault="00DE55F5" w:rsidP="009716A4">
      <w:pPr>
        <w:rPr>
          <w:rFonts w:asciiTheme="majorHAnsi" w:hAnsiTheme="majorHAnsi"/>
          <w:b/>
          <w:bCs/>
          <w:sz w:val="22"/>
          <w:szCs w:val="22"/>
        </w:rPr>
      </w:pPr>
    </w:p>
    <w:p w:rsidR="009716A4" w:rsidRPr="00B276E7" w:rsidRDefault="009716A4" w:rsidP="009716A4">
      <w:pPr>
        <w:rPr>
          <w:rFonts w:asciiTheme="majorHAnsi" w:hAnsiTheme="majorHAnsi"/>
          <w:b/>
          <w:bCs/>
          <w:sz w:val="22"/>
          <w:szCs w:val="22"/>
        </w:rPr>
      </w:pPr>
      <w:r w:rsidRPr="00B276E7">
        <w:rPr>
          <w:rFonts w:asciiTheme="majorHAnsi" w:hAnsiTheme="majorHAnsi"/>
          <w:b/>
          <w:bCs/>
          <w:sz w:val="22"/>
          <w:szCs w:val="22"/>
        </w:rPr>
        <w:t xml:space="preserve">RISKS/DISCOMFORT: </w:t>
      </w:r>
    </w:p>
    <w:p w:rsidR="009716A4" w:rsidRPr="00B276E7" w:rsidRDefault="009716A4" w:rsidP="009716A4">
      <w:pPr>
        <w:pStyle w:val="ListParagraph"/>
        <w:numPr>
          <w:ilvl w:val="0"/>
          <w:numId w:val="3"/>
        </w:numPr>
        <w:rPr>
          <w:rFonts w:asciiTheme="majorHAnsi" w:hAnsiTheme="majorHAnsi"/>
          <w:sz w:val="22"/>
          <w:szCs w:val="22"/>
        </w:rPr>
      </w:pPr>
      <w:r w:rsidRPr="00B276E7">
        <w:rPr>
          <w:rFonts w:asciiTheme="majorHAnsi" w:hAnsiTheme="majorHAnsi"/>
          <w:sz w:val="22"/>
          <w:szCs w:val="22"/>
        </w:rPr>
        <w:t>Blood draw- can cause infection/ bleeding/hematoma at the venipuncture site.</w:t>
      </w:r>
    </w:p>
    <w:p w:rsidR="000162AF" w:rsidRDefault="009716A4" w:rsidP="00044E4F">
      <w:pPr>
        <w:pStyle w:val="ListParagraph"/>
        <w:numPr>
          <w:ilvl w:val="0"/>
          <w:numId w:val="3"/>
        </w:numPr>
        <w:rPr>
          <w:rFonts w:asciiTheme="majorHAnsi" w:hAnsiTheme="majorHAnsi"/>
          <w:sz w:val="22"/>
          <w:szCs w:val="22"/>
        </w:rPr>
      </w:pPr>
      <w:r w:rsidRPr="00B276E7">
        <w:rPr>
          <w:rFonts w:asciiTheme="majorHAnsi" w:hAnsiTheme="majorHAnsi"/>
          <w:sz w:val="22"/>
          <w:szCs w:val="22"/>
        </w:rPr>
        <w:t>Vitamin D supplementation--- No adverse outcomes are expected as 4,000IU/day is considered physiological dose and the general public can purchase up to 5</w:t>
      </w:r>
      <w:r w:rsidR="00C2718D" w:rsidRPr="00B276E7">
        <w:rPr>
          <w:rFonts w:asciiTheme="majorHAnsi" w:hAnsiTheme="majorHAnsi"/>
          <w:sz w:val="22"/>
          <w:szCs w:val="22"/>
        </w:rPr>
        <w:t>0</w:t>
      </w:r>
      <w:r w:rsidRPr="00B276E7">
        <w:rPr>
          <w:rFonts w:asciiTheme="majorHAnsi" w:hAnsiTheme="majorHAnsi"/>
          <w:sz w:val="22"/>
          <w:szCs w:val="22"/>
        </w:rPr>
        <w:t>,000IU/day over the counter without monitoring.</w:t>
      </w:r>
      <w:r w:rsidR="00F32BB5">
        <w:rPr>
          <w:rFonts w:asciiTheme="majorHAnsi" w:hAnsiTheme="majorHAnsi"/>
          <w:sz w:val="22"/>
          <w:szCs w:val="22"/>
        </w:rPr>
        <w:t xml:space="preserve"> </w:t>
      </w:r>
    </w:p>
    <w:p w:rsidR="00F32BB5" w:rsidRPr="00F32BB5" w:rsidRDefault="00044E4F" w:rsidP="000162AF">
      <w:pPr>
        <w:pStyle w:val="ListParagraph"/>
        <w:rPr>
          <w:rFonts w:asciiTheme="majorHAnsi" w:hAnsiTheme="majorHAnsi"/>
          <w:sz w:val="22"/>
          <w:szCs w:val="22"/>
        </w:rPr>
      </w:pPr>
      <w:r w:rsidRPr="00F32BB5">
        <w:rPr>
          <w:rFonts w:asciiTheme="majorHAnsi" w:hAnsiTheme="majorHAnsi" w:cs="Times New Roman"/>
          <w:sz w:val="22"/>
          <w:szCs w:val="22"/>
        </w:rPr>
        <w:t>Published cases of toxicity, for which serum levels and dose are known, all involve intake of ≥ 40</w:t>
      </w:r>
      <w:r w:rsidR="00B276E7" w:rsidRPr="00F32BB5">
        <w:rPr>
          <w:rFonts w:asciiTheme="majorHAnsi" w:hAnsiTheme="majorHAnsi" w:cs="Times New Roman"/>
          <w:sz w:val="22"/>
          <w:szCs w:val="22"/>
        </w:rPr>
        <w:t>,</w:t>
      </w:r>
      <w:r w:rsidRPr="00F32BB5">
        <w:rPr>
          <w:rFonts w:asciiTheme="majorHAnsi" w:hAnsiTheme="majorHAnsi" w:cs="Times New Roman"/>
          <w:sz w:val="22"/>
          <w:szCs w:val="22"/>
        </w:rPr>
        <w:t xml:space="preserve">000 IU (1000 mcg) per day. </w:t>
      </w:r>
      <w:r w:rsidR="000162AF" w:rsidRPr="000162AF">
        <w:rPr>
          <w:rFonts w:asciiTheme="majorHAnsi" w:hAnsiTheme="majorHAnsi" w:cs="Times New Roman"/>
          <w:sz w:val="18"/>
          <w:szCs w:val="18"/>
        </w:rPr>
        <w:t>(13)</w:t>
      </w:r>
      <w:r w:rsidRPr="00F32BB5">
        <w:rPr>
          <w:rFonts w:asciiTheme="majorHAnsi" w:hAnsiTheme="majorHAnsi" w:cs="Times New Roman"/>
          <w:sz w:val="22"/>
          <w:szCs w:val="22"/>
        </w:rPr>
        <w:t xml:space="preserve"> Two different cases involved intake of over 2,000,000 IU per day - both men survived. </w:t>
      </w:r>
      <w:r w:rsidR="000162AF" w:rsidRPr="000162AF">
        <w:rPr>
          <w:rFonts w:asciiTheme="majorHAnsi" w:hAnsiTheme="majorHAnsi" w:cs="Times New Roman"/>
          <w:sz w:val="18"/>
          <w:szCs w:val="18"/>
        </w:rPr>
        <w:t>(14,15)</w:t>
      </w:r>
      <w:r w:rsidRPr="00F32BB5">
        <w:rPr>
          <w:rFonts w:asciiTheme="majorHAnsi" w:hAnsiTheme="majorHAnsi" w:cs="Times New Roman"/>
          <w:sz w:val="22"/>
          <w:szCs w:val="22"/>
        </w:rPr>
        <w:t xml:space="preserve"> Upper limit for a substance is the amount up to which is considered safe and without risk of adverse effects in the majority of the population. Toxicity threshold for a substance is the amount beyond which symptoms of toxicity manifest.</w:t>
      </w:r>
    </w:p>
    <w:p w:rsidR="00F32BB5" w:rsidRDefault="00044E4F" w:rsidP="00F32BB5">
      <w:pPr>
        <w:pStyle w:val="ListParagraph"/>
        <w:rPr>
          <w:rFonts w:asciiTheme="majorHAnsi" w:hAnsiTheme="majorHAnsi" w:cs="Times New Roman"/>
          <w:sz w:val="22"/>
          <w:szCs w:val="22"/>
        </w:rPr>
      </w:pPr>
      <w:r w:rsidRPr="00F32BB5">
        <w:rPr>
          <w:rFonts w:asciiTheme="majorHAnsi" w:hAnsiTheme="majorHAnsi" w:cs="Times New Roman"/>
          <w:sz w:val="22"/>
          <w:szCs w:val="22"/>
        </w:rPr>
        <w:t>These values for vitamin 25(OH)D are as follows:</w:t>
      </w:r>
    </w:p>
    <w:p w:rsidR="00F32BB5" w:rsidRPr="000162AF" w:rsidRDefault="00044E4F" w:rsidP="00F32BB5">
      <w:pPr>
        <w:pStyle w:val="ListParagraph"/>
        <w:numPr>
          <w:ilvl w:val="0"/>
          <w:numId w:val="15"/>
        </w:numPr>
        <w:rPr>
          <w:rFonts w:asciiTheme="majorHAnsi" w:hAnsiTheme="majorHAnsi"/>
          <w:sz w:val="18"/>
          <w:szCs w:val="18"/>
        </w:rPr>
      </w:pPr>
      <w:r w:rsidRPr="00B276E7">
        <w:rPr>
          <w:rFonts w:asciiTheme="majorHAnsi" w:hAnsiTheme="majorHAnsi"/>
          <w:sz w:val="22"/>
          <w:szCs w:val="22"/>
        </w:rPr>
        <w:t xml:space="preserve">Toxicity threshold level - 200-250 ng/mL (500-750 nmol/L) </w:t>
      </w:r>
      <w:r w:rsidR="000162AF" w:rsidRPr="000162AF">
        <w:rPr>
          <w:rFonts w:asciiTheme="majorHAnsi" w:hAnsiTheme="majorHAnsi"/>
          <w:sz w:val="18"/>
          <w:szCs w:val="18"/>
        </w:rPr>
        <w:t>(16,17,18,19,20,21)</w:t>
      </w:r>
    </w:p>
    <w:p w:rsidR="000162AF" w:rsidRDefault="00044E4F" w:rsidP="00044E4F">
      <w:pPr>
        <w:pStyle w:val="ListParagraph"/>
        <w:numPr>
          <w:ilvl w:val="0"/>
          <w:numId w:val="15"/>
        </w:numPr>
        <w:rPr>
          <w:rFonts w:asciiTheme="majorHAnsi" w:hAnsiTheme="majorHAnsi"/>
          <w:sz w:val="22"/>
          <w:szCs w:val="22"/>
        </w:rPr>
      </w:pPr>
      <w:r w:rsidRPr="00F32BB5">
        <w:rPr>
          <w:rFonts w:asciiTheme="majorHAnsi" w:hAnsiTheme="majorHAnsi"/>
          <w:sz w:val="22"/>
          <w:szCs w:val="22"/>
        </w:rPr>
        <w:t xml:space="preserve">Upper limit - 100 ng/mL (250 nmol/L) </w:t>
      </w:r>
    </w:p>
    <w:p w:rsidR="00044E4F" w:rsidRPr="000162AF" w:rsidRDefault="00044E4F" w:rsidP="000162AF">
      <w:pPr>
        <w:ind w:left="720"/>
        <w:rPr>
          <w:rFonts w:asciiTheme="majorHAnsi" w:hAnsiTheme="majorHAnsi"/>
          <w:sz w:val="18"/>
          <w:szCs w:val="18"/>
        </w:rPr>
      </w:pPr>
      <w:r w:rsidRPr="000162AF">
        <w:rPr>
          <w:rFonts w:asciiTheme="majorHAnsi" w:hAnsiTheme="majorHAnsi" w:cs="Times New Roman"/>
          <w:sz w:val="22"/>
          <w:szCs w:val="22"/>
        </w:rPr>
        <w:t xml:space="preserve">The large range between 25(OH)D’s upper limit and its threshold value implies a degree of safety at serum levels up to 100 ng/mL (250 nmol/L), since concentrations twice this amount have yet to ever be associated with toxicity. </w:t>
      </w:r>
      <w:r w:rsidR="00B276E7" w:rsidRPr="000162AF">
        <w:rPr>
          <w:rFonts w:asciiTheme="majorHAnsi" w:hAnsiTheme="majorHAnsi" w:cs="Times New Roman"/>
          <w:sz w:val="18"/>
          <w:szCs w:val="18"/>
        </w:rPr>
        <w:t>(1</w:t>
      </w:r>
      <w:r w:rsidR="000162AF" w:rsidRPr="000162AF">
        <w:rPr>
          <w:rFonts w:asciiTheme="majorHAnsi" w:hAnsiTheme="majorHAnsi" w:cs="Times New Roman"/>
        </w:rPr>
        <w:t>6</w:t>
      </w:r>
      <w:r w:rsidR="00B276E7" w:rsidRPr="000162AF">
        <w:rPr>
          <w:rFonts w:asciiTheme="majorHAnsi" w:hAnsiTheme="majorHAnsi" w:cs="Times New Roman"/>
          <w:sz w:val="18"/>
          <w:szCs w:val="18"/>
        </w:rPr>
        <w:t>)</w:t>
      </w:r>
      <w:r w:rsidRPr="000162AF">
        <w:rPr>
          <w:rFonts w:asciiTheme="majorHAnsi" w:hAnsiTheme="majorHAnsi" w:cs="Times New Roman"/>
          <w:sz w:val="18"/>
          <w:szCs w:val="18"/>
        </w:rPr>
        <w:t xml:space="preserve"> </w:t>
      </w:r>
      <w:r w:rsidRPr="000162AF">
        <w:rPr>
          <w:rFonts w:asciiTheme="majorHAnsi" w:hAnsiTheme="majorHAnsi" w:cs="Times New Roman"/>
          <w:sz w:val="22"/>
          <w:szCs w:val="22"/>
        </w:rPr>
        <w:t xml:space="preserve">In animal models, serum concentrations have reached as high as 400-700 ng/mL (1,000-1750 nmol/L) before toxic effects (severe </w:t>
      </w:r>
      <w:hyperlink r:id="rId11" w:anchor="Hypercalcemia" w:tooltip="View this glossary definition" w:history="1">
        <w:r w:rsidRPr="000162AF">
          <w:rPr>
            <w:rStyle w:val="Hyperlink"/>
            <w:rFonts w:asciiTheme="majorHAnsi" w:hAnsiTheme="majorHAnsi" w:cs="Times New Roman"/>
            <w:color w:val="auto"/>
            <w:sz w:val="22"/>
            <w:szCs w:val="22"/>
            <w:u w:val="none"/>
          </w:rPr>
          <w:t>hypercalcemia</w:t>
        </w:r>
      </w:hyperlink>
      <w:r w:rsidRPr="000162AF">
        <w:rPr>
          <w:rFonts w:asciiTheme="majorHAnsi" w:hAnsiTheme="majorHAnsi" w:cs="Times New Roman"/>
          <w:sz w:val="22"/>
          <w:szCs w:val="22"/>
        </w:rPr>
        <w:t xml:space="preserve">) were observed. </w:t>
      </w:r>
      <w:r w:rsidR="00B276E7" w:rsidRPr="000162AF">
        <w:rPr>
          <w:rFonts w:asciiTheme="majorHAnsi" w:hAnsiTheme="majorHAnsi" w:cs="Times New Roman"/>
          <w:sz w:val="18"/>
          <w:szCs w:val="18"/>
        </w:rPr>
        <w:t>(</w:t>
      </w:r>
      <w:r w:rsidR="000162AF" w:rsidRPr="000162AF">
        <w:rPr>
          <w:rFonts w:asciiTheme="majorHAnsi" w:hAnsiTheme="majorHAnsi" w:cs="Times New Roman"/>
          <w:sz w:val="18"/>
          <w:szCs w:val="18"/>
        </w:rPr>
        <w:t>20</w:t>
      </w:r>
      <w:r w:rsidR="00B276E7" w:rsidRPr="000162AF">
        <w:rPr>
          <w:rFonts w:asciiTheme="majorHAnsi" w:hAnsiTheme="majorHAnsi" w:cs="Times New Roman"/>
          <w:sz w:val="18"/>
          <w:szCs w:val="18"/>
        </w:rPr>
        <w:t xml:space="preserve">, </w:t>
      </w:r>
      <w:r w:rsidR="000162AF" w:rsidRPr="000162AF">
        <w:rPr>
          <w:rFonts w:asciiTheme="majorHAnsi" w:hAnsiTheme="majorHAnsi" w:cs="Times New Roman"/>
          <w:sz w:val="18"/>
          <w:szCs w:val="18"/>
        </w:rPr>
        <w:t>21</w:t>
      </w:r>
      <w:r w:rsidR="00B276E7" w:rsidRPr="000162AF">
        <w:rPr>
          <w:rFonts w:asciiTheme="majorHAnsi" w:hAnsiTheme="majorHAnsi" w:cs="Times New Roman"/>
          <w:sz w:val="18"/>
          <w:szCs w:val="18"/>
        </w:rPr>
        <w:t xml:space="preserve"> )</w:t>
      </w:r>
    </w:p>
    <w:p w:rsidR="00044E4F" w:rsidRPr="00B276E7" w:rsidRDefault="00044E4F" w:rsidP="005E4B52">
      <w:pPr>
        <w:spacing w:before="100" w:beforeAutospacing="1" w:after="100" w:afterAutospacing="1"/>
        <w:ind w:left="360"/>
        <w:rPr>
          <w:rFonts w:asciiTheme="majorHAnsi" w:hAnsiTheme="majorHAnsi"/>
          <w:sz w:val="22"/>
          <w:szCs w:val="22"/>
        </w:rPr>
      </w:pPr>
      <w:r w:rsidRPr="00B276E7">
        <w:rPr>
          <w:rFonts w:asciiTheme="majorHAnsi" w:hAnsiTheme="majorHAnsi"/>
          <w:sz w:val="22"/>
          <w:szCs w:val="22"/>
        </w:rPr>
        <w:t>The first sign of vitamin D toxicity is hypercalcuria (excess calcium in the urine) followed by hypercalcemia (high blood calcium). The following symptoms may present:</w:t>
      </w:r>
    </w:p>
    <w:p w:rsidR="00044E4F" w:rsidRPr="00B276E7" w:rsidRDefault="00044E4F" w:rsidP="00044E4F">
      <w:pPr>
        <w:numPr>
          <w:ilvl w:val="0"/>
          <w:numId w:val="10"/>
        </w:numPr>
        <w:spacing w:before="100" w:beforeAutospacing="1" w:after="100" w:afterAutospacing="1"/>
        <w:rPr>
          <w:rFonts w:asciiTheme="majorHAnsi" w:hAnsiTheme="majorHAnsi"/>
          <w:sz w:val="22"/>
          <w:szCs w:val="22"/>
        </w:rPr>
      </w:pPr>
      <w:r w:rsidRPr="00B276E7">
        <w:rPr>
          <w:rFonts w:asciiTheme="majorHAnsi" w:hAnsiTheme="majorHAnsi"/>
          <w:sz w:val="22"/>
          <w:szCs w:val="22"/>
        </w:rPr>
        <w:t xml:space="preserve">nausea </w:t>
      </w:r>
    </w:p>
    <w:p w:rsidR="00044E4F" w:rsidRPr="00B276E7" w:rsidRDefault="00044E4F" w:rsidP="00044E4F">
      <w:pPr>
        <w:numPr>
          <w:ilvl w:val="0"/>
          <w:numId w:val="10"/>
        </w:numPr>
        <w:spacing w:before="100" w:beforeAutospacing="1" w:after="100" w:afterAutospacing="1"/>
        <w:rPr>
          <w:rFonts w:asciiTheme="majorHAnsi" w:hAnsiTheme="majorHAnsi"/>
          <w:sz w:val="22"/>
          <w:szCs w:val="22"/>
        </w:rPr>
      </w:pPr>
      <w:r w:rsidRPr="00B276E7">
        <w:rPr>
          <w:rFonts w:asciiTheme="majorHAnsi" w:hAnsiTheme="majorHAnsi"/>
          <w:sz w:val="22"/>
          <w:szCs w:val="22"/>
        </w:rPr>
        <w:t xml:space="preserve">vomiting </w:t>
      </w:r>
    </w:p>
    <w:p w:rsidR="00044E4F" w:rsidRPr="00B276E7" w:rsidRDefault="00044E4F" w:rsidP="00044E4F">
      <w:pPr>
        <w:numPr>
          <w:ilvl w:val="0"/>
          <w:numId w:val="10"/>
        </w:numPr>
        <w:spacing w:before="100" w:beforeAutospacing="1" w:after="100" w:afterAutospacing="1"/>
        <w:rPr>
          <w:rFonts w:asciiTheme="majorHAnsi" w:hAnsiTheme="majorHAnsi"/>
          <w:sz w:val="22"/>
          <w:szCs w:val="22"/>
        </w:rPr>
      </w:pPr>
      <w:r w:rsidRPr="00B276E7">
        <w:rPr>
          <w:rFonts w:asciiTheme="majorHAnsi" w:hAnsiTheme="majorHAnsi"/>
          <w:sz w:val="22"/>
          <w:szCs w:val="22"/>
        </w:rPr>
        <w:t xml:space="preserve">poor appetite </w:t>
      </w:r>
    </w:p>
    <w:p w:rsidR="00044E4F" w:rsidRPr="00B276E7" w:rsidRDefault="00044E4F" w:rsidP="00044E4F">
      <w:pPr>
        <w:numPr>
          <w:ilvl w:val="0"/>
          <w:numId w:val="10"/>
        </w:numPr>
        <w:spacing w:before="100" w:beforeAutospacing="1" w:after="100" w:afterAutospacing="1"/>
        <w:rPr>
          <w:rFonts w:asciiTheme="majorHAnsi" w:hAnsiTheme="majorHAnsi"/>
          <w:sz w:val="22"/>
          <w:szCs w:val="22"/>
        </w:rPr>
      </w:pPr>
      <w:r w:rsidRPr="00B276E7">
        <w:rPr>
          <w:rFonts w:asciiTheme="majorHAnsi" w:hAnsiTheme="majorHAnsi"/>
          <w:sz w:val="22"/>
          <w:szCs w:val="22"/>
        </w:rPr>
        <w:t xml:space="preserve">constipation (possibly alternating with diarrhea) </w:t>
      </w:r>
    </w:p>
    <w:p w:rsidR="00044E4F" w:rsidRPr="00B276E7" w:rsidRDefault="00044E4F" w:rsidP="00044E4F">
      <w:pPr>
        <w:numPr>
          <w:ilvl w:val="0"/>
          <w:numId w:val="10"/>
        </w:numPr>
        <w:spacing w:before="100" w:beforeAutospacing="1" w:after="100" w:afterAutospacing="1"/>
        <w:rPr>
          <w:rFonts w:asciiTheme="majorHAnsi" w:hAnsiTheme="majorHAnsi"/>
          <w:sz w:val="22"/>
          <w:szCs w:val="22"/>
        </w:rPr>
      </w:pPr>
      <w:r w:rsidRPr="00B276E7">
        <w:rPr>
          <w:rFonts w:asciiTheme="majorHAnsi" w:hAnsiTheme="majorHAnsi"/>
          <w:sz w:val="22"/>
          <w:szCs w:val="22"/>
        </w:rPr>
        <w:t xml:space="preserve">weakness </w:t>
      </w:r>
    </w:p>
    <w:p w:rsidR="00044E4F" w:rsidRPr="00B276E7" w:rsidRDefault="00044E4F" w:rsidP="00044E4F">
      <w:pPr>
        <w:numPr>
          <w:ilvl w:val="0"/>
          <w:numId w:val="10"/>
        </w:numPr>
        <w:spacing w:before="100" w:beforeAutospacing="1" w:after="100" w:afterAutospacing="1"/>
        <w:rPr>
          <w:rFonts w:asciiTheme="majorHAnsi" w:hAnsiTheme="majorHAnsi"/>
          <w:sz w:val="22"/>
          <w:szCs w:val="22"/>
        </w:rPr>
      </w:pPr>
      <w:r w:rsidRPr="00B276E7">
        <w:rPr>
          <w:rFonts w:asciiTheme="majorHAnsi" w:hAnsiTheme="majorHAnsi"/>
          <w:sz w:val="22"/>
          <w:szCs w:val="22"/>
        </w:rPr>
        <w:t xml:space="preserve">weight loss </w:t>
      </w:r>
    </w:p>
    <w:p w:rsidR="00044E4F" w:rsidRPr="00B276E7" w:rsidRDefault="00044E4F" w:rsidP="00044E4F">
      <w:pPr>
        <w:numPr>
          <w:ilvl w:val="0"/>
          <w:numId w:val="10"/>
        </w:numPr>
        <w:spacing w:before="100" w:beforeAutospacing="1" w:after="100" w:afterAutospacing="1"/>
        <w:rPr>
          <w:rFonts w:asciiTheme="majorHAnsi" w:hAnsiTheme="majorHAnsi"/>
          <w:sz w:val="22"/>
          <w:szCs w:val="22"/>
        </w:rPr>
      </w:pPr>
      <w:r w:rsidRPr="00B276E7">
        <w:rPr>
          <w:rFonts w:asciiTheme="majorHAnsi" w:hAnsiTheme="majorHAnsi"/>
          <w:sz w:val="22"/>
          <w:szCs w:val="22"/>
        </w:rPr>
        <w:t xml:space="preserve">tingling sensations in the mouth </w:t>
      </w:r>
    </w:p>
    <w:p w:rsidR="00044E4F" w:rsidRPr="00B276E7" w:rsidRDefault="00044E4F" w:rsidP="00044E4F">
      <w:pPr>
        <w:numPr>
          <w:ilvl w:val="0"/>
          <w:numId w:val="10"/>
        </w:numPr>
        <w:spacing w:before="100" w:beforeAutospacing="1" w:after="100" w:afterAutospacing="1"/>
        <w:rPr>
          <w:rFonts w:asciiTheme="majorHAnsi" w:hAnsiTheme="majorHAnsi"/>
          <w:sz w:val="22"/>
          <w:szCs w:val="22"/>
        </w:rPr>
      </w:pPr>
      <w:r w:rsidRPr="00B276E7">
        <w:rPr>
          <w:rFonts w:asciiTheme="majorHAnsi" w:hAnsiTheme="majorHAnsi"/>
          <w:sz w:val="22"/>
          <w:szCs w:val="22"/>
        </w:rPr>
        <w:t xml:space="preserve">confusion </w:t>
      </w:r>
    </w:p>
    <w:p w:rsidR="00044E4F" w:rsidRPr="00B276E7" w:rsidRDefault="00044E4F" w:rsidP="00044E4F">
      <w:pPr>
        <w:numPr>
          <w:ilvl w:val="0"/>
          <w:numId w:val="10"/>
        </w:numPr>
        <w:spacing w:before="100" w:beforeAutospacing="1" w:after="100" w:afterAutospacing="1"/>
        <w:rPr>
          <w:rFonts w:asciiTheme="majorHAnsi" w:hAnsiTheme="majorHAnsi"/>
          <w:sz w:val="22"/>
          <w:szCs w:val="22"/>
        </w:rPr>
      </w:pPr>
      <w:r w:rsidRPr="00B276E7">
        <w:rPr>
          <w:rFonts w:asciiTheme="majorHAnsi" w:hAnsiTheme="majorHAnsi"/>
          <w:sz w:val="22"/>
          <w:szCs w:val="22"/>
        </w:rPr>
        <w:t xml:space="preserve">heart rhythm abnormalities </w:t>
      </w:r>
    </w:p>
    <w:p w:rsidR="00B276E7" w:rsidRDefault="00044E4F" w:rsidP="00B276E7">
      <w:pPr>
        <w:spacing w:before="100" w:beforeAutospacing="1" w:after="100" w:afterAutospacing="1"/>
        <w:rPr>
          <w:rFonts w:asciiTheme="majorHAnsi" w:hAnsiTheme="majorHAnsi"/>
          <w:sz w:val="22"/>
          <w:szCs w:val="22"/>
        </w:rPr>
      </w:pPr>
      <w:r w:rsidRPr="00B276E7">
        <w:rPr>
          <w:rFonts w:asciiTheme="majorHAnsi" w:hAnsiTheme="majorHAnsi"/>
          <w:sz w:val="22"/>
          <w:szCs w:val="22"/>
        </w:rPr>
        <w:t>The immediate symptoms of vitamin D overdose are:</w:t>
      </w:r>
    </w:p>
    <w:p w:rsidR="00B276E7" w:rsidRDefault="00B276E7" w:rsidP="00B276E7">
      <w:pPr>
        <w:pStyle w:val="ListParagraph"/>
        <w:numPr>
          <w:ilvl w:val="0"/>
          <w:numId w:val="14"/>
        </w:numPr>
        <w:spacing w:before="100" w:beforeAutospacing="1" w:after="100" w:afterAutospacing="1"/>
        <w:rPr>
          <w:rFonts w:asciiTheme="majorHAnsi" w:hAnsiTheme="majorHAnsi"/>
          <w:sz w:val="22"/>
          <w:szCs w:val="22"/>
        </w:rPr>
      </w:pPr>
      <w:r>
        <w:rPr>
          <w:rFonts w:asciiTheme="majorHAnsi" w:hAnsiTheme="majorHAnsi"/>
          <w:sz w:val="22"/>
          <w:szCs w:val="22"/>
        </w:rPr>
        <w:t>A</w:t>
      </w:r>
      <w:r w:rsidR="00044E4F" w:rsidRPr="00B276E7">
        <w:rPr>
          <w:rFonts w:asciiTheme="majorHAnsi" w:hAnsiTheme="majorHAnsi"/>
          <w:sz w:val="22"/>
          <w:szCs w:val="22"/>
        </w:rPr>
        <w:t xml:space="preserve">bdominal cramps </w:t>
      </w:r>
    </w:p>
    <w:p w:rsidR="00B276E7" w:rsidRDefault="00B276E7" w:rsidP="00B276E7">
      <w:pPr>
        <w:pStyle w:val="ListParagraph"/>
        <w:numPr>
          <w:ilvl w:val="0"/>
          <w:numId w:val="14"/>
        </w:numPr>
        <w:spacing w:before="100" w:beforeAutospacing="1" w:after="100" w:afterAutospacing="1"/>
        <w:rPr>
          <w:rFonts w:asciiTheme="majorHAnsi" w:hAnsiTheme="majorHAnsi"/>
          <w:sz w:val="22"/>
          <w:szCs w:val="22"/>
        </w:rPr>
      </w:pPr>
      <w:r>
        <w:rPr>
          <w:rFonts w:asciiTheme="majorHAnsi" w:hAnsiTheme="majorHAnsi"/>
          <w:sz w:val="22"/>
          <w:szCs w:val="22"/>
        </w:rPr>
        <w:t>N</w:t>
      </w:r>
      <w:r w:rsidR="00044E4F" w:rsidRPr="00B276E7">
        <w:rPr>
          <w:rFonts w:asciiTheme="majorHAnsi" w:hAnsiTheme="majorHAnsi"/>
          <w:sz w:val="22"/>
          <w:szCs w:val="22"/>
        </w:rPr>
        <w:t>ausea</w:t>
      </w:r>
    </w:p>
    <w:p w:rsidR="00141D4D" w:rsidRPr="00B276E7" w:rsidRDefault="00B276E7" w:rsidP="00B276E7">
      <w:pPr>
        <w:pStyle w:val="ListParagraph"/>
        <w:numPr>
          <w:ilvl w:val="0"/>
          <w:numId w:val="14"/>
        </w:numPr>
        <w:spacing w:before="100" w:beforeAutospacing="1" w:after="100" w:afterAutospacing="1"/>
        <w:rPr>
          <w:rFonts w:asciiTheme="majorHAnsi" w:hAnsiTheme="majorHAnsi"/>
          <w:sz w:val="22"/>
          <w:szCs w:val="22"/>
        </w:rPr>
      </w:pPr>
      <w:r>
        <w:rPr>
          <w:rFonts w:asciiTheme="majorHAnsi" w:hAnsiTheme="majorHAnsi"/>
          <w:sz w:val="22"/>
          <w:szCs w:val="22"/>
        </w:rPr>
        <w:t>V</w:t>
      </w:r>
      <w:r w:rsidR="00044E4F" w:rsidRPr="00B276E7">
        <w:rPr>
          <w:rFonts w:asciiTheme="majorHAnsi" w:hAnsiTheme="majorHAnsi"/>
          <w:sz w:val="22"/>
          <w:szCs w:val="22"/>
        </w:rPr>
        <w:t xml:space="preserve">omiting </w:t>
      </w:r>
    </w:p>
    <w:p w:rsidR="009716A4" w:rsidRPr="00B276E7" w:rsidRDefault="009716A4" w:rsidP="009716A4">
      <w:pPr>
        <w:rPr>
          <w:rFonts w:asciiTheme="majorHAnsi" w:hAnsiTheme="majorHAnsi"/>
          <w:b/>
          <w:bCs/>
          <w:sz w:val="22"/>
          <w:szCs w:val="22"/>
        </w:rPr>
      </w:pPr>
      <w:r w:rsidRPr="00B276E7">
        <w:rPr>
          <w:rFonts w:asciiTheme="majorHAnsi" w:hAnsiTheme="majorHAnsi"/>
          <w:b/>
          <w:bCs/>
          <w:sz w:val="22"/>
          <w:szCs w:val="22"/>
        </w:rPr>
        <w:t>STUDY ANALYSIS:</w:t>
      </w:r>
    </w:p>
    <w:p w:rsidR="009716A4" w:rsidRPr="00B276E7" w:rsidRDefault="009716A4" w:rsidP="009716A4">
      <w:pPr>
        <w:rPr>
          <w:rFonts w:asciiTheme="majorHAnsi" w:hAnsiTheme="majorHAnsi" w:cs="Times New Roman"/>
          <w:sz w:val="22"/>
          <w:szCs w:val="22"/>
        </w:rPr>
      </w:pPr>
      <w:r w:rsidRPr="00B276E7">
        <w:rPr>
          <w:rFonts w:asciiTheme="majorHAnsi" w:hAnsiTheme="majorHAnsi"/>
          <w:sz w:val="22"/>
          <w:szCs w:val="22"/>
        </w:rPr>
        <w:t xml:space="preserve">The PI will design and implement an Excel- based data collection form. The form will be pre-tested on ten patients prior to actual data collection. Upon data collection completion, the data will be analyzed using SPSS. Continuous variables will be examined for normality and if assumption is met, differences in mean values will be tested using Student’s t test an analysis of variance (ANOVA). If not normally distributed, non-parametric procedures will be used, including Wilcoxan rank Sum test. Categorical data will be analyzed using Fisher’s exact test and Chi square analysis. </w:t>
      </w:r>
      <w:r w:rsidRPr="00B276E7">
        <w:rPr>
          <w:rStyle w:val="normalchar1"/>
          <w:rFonts w:asciiTheme="majorHAnsi" w:hAnsiTheme="majorHAnsi"/>
        </w:rPr>
        <w:t>Since before/after comparisons will be performed on the same study patients we will utilize paired t tests and McNemar’s chi-square test.</w:t>
      </w:r>
    </w:p>
    <w:p w:rsidR="009716A4" w:rsidRPr="00B276E7" w:rsidRDefault="009716A4" w:rsidP="009716A4">
      <w:pPr>
        <w:rPr>
          <w:rFonts w:asciiTheme="majorHAnsi" w:hAnsiTheme="majorHAnsi" w:cs="Times New Roman"/>
          <w:sz w:val="22"/>
          <w:szCs w:val="22"/>
        </w:rPr>
      </w:pPr>
    </w:p>
    <w:p w:rsidR="009716A4" w:rsidRPr="00B276E7" w:rsidRDefault="009716A4" w:rsidP="009716A4">
      <w:pPr>
        <w:rPr>
          <w:rFonts w:asciiTheme="majorHAnsi" w:hAnsiTheme="majorHAnsi"/>
          <w:sz w:val="22"/>
          <w:szCs w:val="22"/>
        </w:rPr>
      </w:pPr>
      <w:r w:rsidRPr="00B276E7">
        <w:rPr>
          <w:rFonts w:asciiTheme="majorHAnsi" w:hAnsiTheme="majorHAnsi"/>
          <w:b/>
          <w:sz w:val="22"/>
          <w:szCs w:val="22"/>
        </w:rPr>
        <w:t>Power:</w:t>
      </w:r>
      <w:r w:rsidRPr="00B276E7">
        <w:rPr>
          <w:rFonts w:asciiTheme="majorHAnsi" w:hAnsiTheme="majorHAnsi"/>
          <w:sz w:val="22"/>
          <w:szCs w:val="22"/>
        </w:rPr>
        <w:t xml:space="preserve"> It is anticipated that we</w:t>
      </w:r>
      <w:r w:rsidR="00596692" w:rsidRPr="00B276E7">
        <w:rPr>
          <w:rFonts w:asciiTheme="majorHAnsi" w:hAnsiTheme="majorHAnsi"/>
          <w:sz w:val="22"/>
          <w:szCs w:val="22"/>
        </w:rPr>
        <w:t xml:space="preserve"> will only be able to accrue a total of </w:t>
      </w:r>
      <w:r w:rsidRPr="00B276E7">
        <w:rPr>
          <w:rFonts w:asciiTheme="majorHAnsi" w:hAnsiTheme="majorHAnsi"/>
          <w:sz w:val="22"/>
          <w:szCs w:val="22"/>
        </w:rPr>
        <w:t xml:space="preserve">30 patients </w:t>
      </w:r>
      <w:r w:rsidR="00596692" w:rsidRPr="00B276E7">
        <w:rPr>
          <w:rFonts w:asciiTheme="majorHAnsi" w:hAnsiTheme="majorHAnsi"/>
          <w:sz w:val="22"/>
          <w:szCs w:val="22"/>
        </w:rPr>
        <w:t>in this study</w:t>
      </w:r>
      <w:r w:rsidRPr="00B276E7">
        <w:rPr>
          <w:rFonts w:asciiTheme="majorHAnsi" w:hAnsiTheme="majorHAnsi"/>
          <w:sz w:val="22"/>
          <w:szCs w:val="22"/>
        </w:rPr>
        <w:t>, thereby limiting our statistical power. However a recent case–control study based on only 34 cases of IBD and 34 controls was able to demonstrate statistically significant differences in many of the sam</w:t>
      </w:r>
      <w:r w:rsidR="00C34AC2" w:rsidRPr="00B276E7">
        <w:rPr>
          <w:rFonts w:asciiTheme="majorHAnsi" w:hAnsiTheme="majorHAnsi"/>
          <w:sz w:val="22"/>
          <w:szCs w:val="22"/>
        </w:rPr>
        <w:t xml:space="preserve">e parameter we wish to test. </w:t>
      </w:r>
    </w:p>
    <w:p w:rsidR="009716A4" w:rsidRPr="00B276E7" w:rsidRDefault="009716A4" w:rsidP="009716A4">
      <w:pPr>
        <w:pStyle w:val="ListParagraph"/>
        <w:ind w:left="0"/>
        <w:rPr>
          <w:rFonts w:asciiTheme="majorHAnsi" w:hAnsiTheme="majorHAnsi"/>
          <w:b/>
          <w:bCs/>
          <w:sz w:val="22"/>
          <w:szCs w:val="22"/>
          <w:u w:val="single"/>
        </w:rPr>
      </w:pPr>
    </w:p>
    <w:p w:rsidR="009716A4" w:rsidRDefault="009716A4" w:rsidP="009716A4">
      <w:pPr>
        <w:pStyle w:val="ListParagraph"/>
        <w:ind w:left="0"/>
        <w:rPr>
          <w:b/>
          <w:bCs/>
          <w:u w:val="single"/>
        </w:rPr>
      </w:pPr>
    </w:p>
    <w:p w:rsidR="009716A4" w:rsidRDefault="009716A4" w:rsidP="009716A4">
      <w:pPr>
        <w:pStyle w:val="ListParagraph"/>
        <w:ind w:left="0"/>
        <w:rPr>
          <w:b/>
          <w:bCs/>
          <w:u w:val="single"/>
        </w:rPr>
      </w:pPr>
    </w:p>
    <w:p w:rsidR="009716A4" w:rsidRDefault="009716A4" w:rsidP="009716A4">
      <w:pPr>
        <w:pStyle w:val="ListParagraph"/>
        <w:ind w:left="0"/>
        <w:rPr>
          <w:b/>
          <w:bCs/>
          <w:u w:val="single"/>
        </w:rPr>
      </w:pPr>
    </w:p>
    <w:p w:rsidR="009716A4" w:rsidRDefault="009716A4" w:rsidP="009716A4">
      <w:pPr>
        <w:pStyle w:val="ListParagraph"/>
        <w:ind w:left="0"/>
        <w:rPr>
          <w:b/>
          <w:bCs/>
          <w:u w:val="single"/>
        </w:rPr>
      </w:pPr>
    </w:p>
    <w:p w:rsidR="009716A4" w:rsidRDefault="009716A4" w:rsidP="009716A4">
      <w:pPr>
        <w:pStyle w:val="ListParagraph"/>
        <w:ind w:left="0"/>
        <w:rPr>
          <w:b/>
          <w:bCs/>
          <w:u w:val="single"/>
        </w:rPr>
      </w:pPr>
    </w:p>
    <w:p w:rsidR="009716A4" w:rsidRDefault="009716A4" w:rsidP="009716A4">
      <w:pPr>
        <w:pStyle w:val="ListParagraph"/>
        <w:ind w:left="0"/>
        <w:rPr>
          <w:b/>
          <w:bCs/>
          <w:u w:val="single"/>
        </w:rPr>
      </w:pPr>
    </w:p>
    <w:p w:rsidR="009716A4" w:rsidRDefault="009716A4" w:rsidP="009716A4">
      <w:pPr>
        <w:pStyle w:val="ListParagraph"/>
        <w:ind w:left="0"/>
        <w:rPr>
          <w:b/>
          <w:bCs/>
          <w:u w:val="single"/>
        </w:rPr>
      </w:pPr>
    </w:p>
    <w:p w:rsidR="009716A4" w:rsidRDefault="009716A4" w:rsidP="009716A4">
      <w:pPr>
        <w:pStyle w:val="ListParagraph"/>
        <w:ind w:left="0"/>
        <w:rPr>
          <w:b/>
          <w:bCs/>
          <w:u w:val="single"/>
        </w:rPr>
      </w:pPr>
    </w:p>
    <w:p w:rsidR="009716A4" w:rsidRDefault="009716A4" w:rsidP="009716A4">
      <w:pPr>
        <w:pStyle w:val="ListParagraph"/>
        <w:ind w:left="0"/>
        <w:rPr>
          <w:b/>
          <w:bCs/>
          <w:u w:val="single"/>
        </w:rPr>
      </w:pPr>
    </w:p>
    <w:p w:rsidR="009716A4" w:rsidRDefault="009716A4" w:rsidP="009716A4">
      <w:pPr>
        <w:pStyle w:val="ListParagraph"/>
        <w:ind w:left="0"/>
        <w:rPr>
          <w:b/>
          <w:bCs/>
          <w:u w:val="single"/>
        </w:rPr>
      </w:pPr>
    </w:p>
    <w:p w:rsidR="009716A4" w:rsidRDefault="009716A4" w:rsidP="009716A4">
      <w:pPr>
        <w:pStyle w:val="ListParagraph"/>
        <w:ind w:left="0"/>
        <w:rPr>
          <w:b/>
          <w:bCs/>
          <w:u w:val="single"/>
        </w:rPr>
      </w:pPr>
    </w:p>
    <w:p w:rsidR="009716A4" w:rsidRDefault="009716A4" w:rsidP="009716A4">
      <w:pPr>
        <w:pStyle w:val="ListParagraph"/>
        <w:ind w:left="0"/>
        <w:rPr>
          <w:b/>
          <w:bCs/>
          <w:u w:val="single"/>
        </w:rPr>
      </w:pPr>
    </w:p>
    <w:p w:rsidR="009716A4" w:rsidRDefault="009716A4" w:rsidP="009716A4">
      <w:pPr>
        <w:pStyle w:val="ListParagraph"/>
        <w:ind w:left="0"/>
        <w:rPr>
          <w:b/>
          <w:bCs/>
          <w:u w:val="single"/>
        </w:rPr>
      </w:pPr>
    </w:p>
    <w:p w:rsidR="009716A4" w:rsidRDefault="009716A4" w:rsidP="009716A4">
      <w:pPr>
        <w:pStyle w:val="ListParagraph"/>
        <w:ind w:left="0"/>
        <w:rPr>
          <w:b/>
          <w:bCs/>
          <w:u w:val="single"/>
        </w:rPr>
      </w:pPr>
    </w:p>
    <w:p w:rsidR="009716A4" w:rsidRDefault="009716A4" w:rsidP="009716A4">
      <w:pPr>
        <w:pStyle w:val="ListParagraph"/>
        <w:ind w:left="0"/>
        <w:rPr>
          <w:b/>
          <w:bCs/>
          <w:u w:val="single"/>
        </w:rPr>
      </w:pPr>
    </w:p>
    <w:p w:rsidR="009716A4" w:rsidRDefault="009716A4" w:rsidP="009716A4">
      <w:pPr>
        <w:pStyle w:val="ListParagraph"/>
        <w:ind w:left="0"/>
        <w:rPr>
          <w:b/>
          <w:bCs/>
          <w:u w:val="single"/>
        </w:rPr>
      </w:pPr>
    </w:p>
    <w:p w:rsidR="009716A4" w:rsidRDefault="009716A4" w:rsidP="009716A4">
      <w:pPr>
        <w:pStyle w:val="ListParagraph"/>
        <w:ind w:left="0"/>
        <w:rPr>
          <w:b/>
          <w:bCs/>
          <w:u w:val="single"/>
        </w:rPr>
      </w:pPr>
    </w:p>
    <w:p w:rsidR="009716A4" w:rsidRDefault="009716A4" w:rsidP="009716A4">
      <w:pPr>
        <w:pStyle w:val="ListParagraph"/>
        <w:ind w:left="0"/>
        <w:rPr>
          <w:b/>
          <w:bCs/>
          <w:u w:val="single"/>
        </w:rPr>
      </w:pPr>
    </w:p>
    <w:p w:rsidR="009716A4" w:rsidRDefault="009716A4" w:rsidP="009716A4">
      <w:pPr>
        <w:pStyle w:val="ListParagraph"/>
        <w:ind w:left="0"/>
        <w:rPr>
          <w:b/>
          <w:bCs/>
          <w:u w:val="single"/>
        </w:rPr>
      </w:pPr>
    </w:p>
    <w:p w:rsidR="009716A4" w:rsidRDefault="009716A4" w:rsidP="009716A4">
      <w:pPr>
        <w:pStyle w:val="ListParagraph"/>
        <w:ind w:left="0"/>
        <w:rPr>
          <w:b/>
          <w:bCs/>
          <w:u w:val="single"/>
        </w:rPr>
      </w:pPr>
    </w:p>
    <w:p w:rsidR="009716A4" w:rsidRDefault="009716A4" w:rsidP="009716A4">
      <w:pPr>
        <w:pStyle w:val="ListParagraph"/>
        <w:ind w:left="0"/>
        <w:rPr>
          <w:b/>
          <w:bCs/>
          <w:u w:val="single"/>
        </w:rPr>
      </w:pPr>
    </w:p>
    <w:p w:rsidR="009716A4" w:rsidRDefault="009716A4" w:rsidP="009716A4">
      <w:pPr>
        <w:pStyle w:val="ListParagraph"/>
        <w:ind w:left="0"/>
        <w:rPr>
          <w:b/>
          <w:bCs/>
          <w:u w:val="single"/>
        </w:rPr>
      </w:pPr>
    </w:p>
    <w:p w:rsidR="009716A4" w:rsidRDefault="009716A4" w:rsidP="009716A4">
      <w:pPr>
        <w:pStyle w:val="ListParagraph"/>
        <w:ind w:left="0"/>
        <w:rPr>
          <w:b/>
          <w:bCs/>
          <w:u w:val="single"/>
        </w:rPr>
      </w:pPr>
    </w:p>
    <w:p w:rsidR="009716A4" w:rsidRDefault="009716A4" w:rsidP="009716A4">
      <w:pPr>
        <w:pStyle w:val="ListParagraph"/>
        <w:ind w:left="0"/>
        <w:rPr>
          <w:b/>
          <w:bCs/>
          <w:u w:val="single"/>
        </w:rPr>
      </w:pPr>
    </w:p>
    <w:p w:rsidR="00AD156C" w:rsidRDefault="00AD156C" w:rsidP="009716A4">
      <w:pPr>
        <w:pStyle w:val="ListParagraph"/>
        <w:ind w:left="0"/>
        <w:rPr>
          <w:b/>
          <w:bCs/>
          <w:u w:val="single"/>
        </w:rPr>
      </w:pPr>
    </w:p>
    <w:p w:rsidR="00044E4F" w:rsidRDefault="00044E4F" w:rsidP="009716A4">
      <w:pPr>
        <w:pStyle w:val="ListParagraph"/>
        <w:ind w:left="0"/>
        <w:rPr>
          <w:b/>
          <w:bCs/>
          <w:u w:val="single"/>
        </w:rPr>
      </w:pPr>
    </w:p>
    <w:p w:rsidR="00044E4F" w:rsidRDefault="00044E4F" w:rsidP="009716A4">
      <w:pPr>
        <w:pStyle w:val="ListParagraph"/>
        <w:ind w:left="0"/>
        <w:rPr>
          <w:b/>
          <w:bCs/>
          <w:u w:val="single"/>
        </w:rPr>
      </w:pPr>
    </w:p>
    <w:p w:rsidR="00044E4F" w:rsidRDefault="00044E4F" w:rsidP="009716A4">
      <w:pPr>
        <w:pStyle w:val="ListParagraph"/>
        <w:ind w:left="0"/>
        <w:rPr>
          <w:b/>
          <w:bCs/>
          <w:u w:val="single"/>
        </w:rPr>
      </w:pPr>
    </w:p>
    <w:p w:rsidR="00044E4F" w:rsidRDefault="00044E4F" w:rsidP="009716A4">
      <w:pPr>
        <w:pStyle w:val="ListParagraph"/>
        <w:ind w:left="0"/>
        <w:rPr>
          <w:b/>
          <w:bCs/>
          <w:u w:val="single"/>
        </w:rPr>
      </w:pPr>
    </w:p>
    <w:p w:rsidR="00044E4F" w:rsidRDefault="00044E4F" w:rsidP="009716A4">
      <w:pPr>
        <w:pStyle w:val="ListParagraph"/>
        <w:ind w:left="0"/>
        <w:rPr>
          <w:b/>
          <w:bCs/>
          <w:u w:val="single"/>
        </w:rPr>
      </w:pPr>
    </w:p>
    <w:p w:rsidR="00044E4F" w:rsidRDefault="00044E4F" w:rsidP="009716A4">
      <w:pPr>
        <w:pStyle w:val="ListParagraph"/>
        <w:ind w:left="0"/>
        <w:rPr>
          <w:b/>
          <w:bCs/>
          <w:u w:val="single"/>
        </w:rPr>
      </w:pPr>
    </w:p>
    <w:p w:rsidR="00044E4F" w:rsidRDefault="00044E4F" w:rsidP="009716A4">
      <w:pPr>
        <w:pStyle w:val="ListParagraph"/>
        <w:ind w:left="0"/>
        <w:rPr>
          <w:b/>
          <w:bCs/>
          <w:u w:val="single"/>
        </w:rPr>
      </w:pPr>
    </w:p>
    <w:p w:rsidR="00044E4F" w:rsidRDefault="00044E4F" w:rsidP="009716A4">
      <w:pPr>
        <w:pStyle w:val="ListParagraph"/>
        <w:ind w:left="0"/>
        <w:rPr>
          <w:b/>
          <w:bCs/>
          <w:u w:val="single"/>
        </w:rPr>
      </w:pPr>
    </w:p>
    <w:p w:rsidR="00044E4F" w:rsidRDefault="00044E4F" w:rsidP="009716A4">
      <w:pPr>
        <w:pStyle w:val="ListParagraph"/>
        <w:ind w:left="0"/>
        <w:rPr>
          <w:b/>
          <w:bCs/>
          <w:u w:val="single"/>
        </w:rPr>
      </w:pPr>
    </w:p>
    <w:p w:rsidR="009716A4" w:rsidRDefault="009716A4" w:rsidP="009716A4">
      <w:pPr>
        <w:pStyle w:val="ListParagraph"/>
        <w:ind w:left="0"/>
        <w:rPr>
          <w:b/>
          <w:bCs/>
          <w:u w:val="single"/>
        </w:rPr>
      </w:pPr>
    </w:p>
    <w:p w:rsidR="00DE55F5" w:rsidRDefault="00DE55F5" w:rsidP="009716A4">
      <w:pPr>
        <w:pStyle w:val="ListParagraph"/>
        <w:ind w:left="0"/>
        <w:rPr>
          <w:b/>
          <w:bCs/>
          <w:u w:val="single"/>
        </w:rPr>
      </w:pPr>
    </w:p>
    <w:p w:rsidR="00DE55F5" w:rsidRDefault="00DE55F5" w:rsidP="009716A4">
      <w:pPr>
        <w:pStyle w:val="ListParagraph"/>
        <w:ind w:left="0"/>
        <w:rPr>
          <w:b/>
          <w:bCs/>
          <w:u w:val="single"/>
        </w:rPr>
      </w:pPr>
    </w:p>
    <w:p w:rsidR="00DE55F5" w:rsidRDefault="00DE55F5" w:rsidP="009716A4">
      <w:pPr>
        <w:pStyle w:val="ListParagraph"/>
        <w:ind w:left="0"/>
        <w:rPr>
          <w:b/>
          <w:bCs/>
          <w:u w:val="single"/>
        </w:rPr>
      </w:pPr>
    </w:p>
    <w:p w:rsidR="00DE55F5" w:rsidRDefault="00DE55F5" w:rsidP="009716A4">
      <w:pPr>
        <w:pStyle w:val="ListParagraph"/>
        <w:ind w:left="0"/>
        <w:rPr>
          <w:b/>
          <w:bCs/>
          <w:u w:val="single"/>
        </w:rPr>
      </w:pPr>
    </w:p>
    <w:p w:rsidR="00DE55F5" w:rsidRDefault="00DE55F5" w:rsidP="009716A4">
      <w:pPr>
        <w:pStyle w:val="ListParagraph"/>
        <w:ind w:left="0"/>
        <w:rPr>
          <w:b/>
          <w:bCs/>
          <w:u w:val="single"/>
        </w:rPr>
      </w:pPr>
    </w:p>
    <w:p w:rsidR="00DE55F5" w:rsidRDefault="00DE55F5" w:rsidP="009716A4">
      <w:pPr>
        <w:pStyle w:val="ListParagraph"/>
        <w:ind w:left="0"/>
        <w:rPr>
          <w:b/>
          <w:bCs/>
          <w:u w:val="single"/>
        </w:rPr>
      </w:pPr>
    </w:p>
    <w:p w:rsidR="009716A4" w:rsidRPr="0067315C" w:rsidRDefault="009716A4" w:rsidP="009716A4">
      <w:pPr>
        <w:pStyle w:val="ListParagraph"/>
        <w:ind w:left="0"/>
        <w:rPr>
          <w:b/>
          <w:bCs/>
          <w:u w:val="single"/>
        </w:rPr>
      </w:pPr>
      <w:r w:rsidRPr="0067315C">
        <w:rPr>
          <w:b/>
          <w:bCs/>
          <w:u w:val="single"/>
        </w:rPr>
        <w:t xml:space="preserve">Form 1: </w:t>
      </w:r>
    </w:p>
    <w:p w:rsidR="009716A4" w:rsidRPr="0067315C" w:rsidRDefault="009716A4" w:rsidP="009716A4">
      <w:pPr>
        <w:pStyle w:val="ListParagraph"/>
        <w:ind w:left="0"/>
        <w:rPr>
          <w:rFonts w:cs="Times New Roman"/>
          <w:b/>
          <w:bCs/>
        </w:rPr>
      </w:pPr>
      <w:r w:rsidRPr="0067315C">
        <w:rPr>
          <w:b/>
          <w:bCs/>
          <w:u w:val="single"/>
        </w:rPr>
        <w:t>Data Collection Form</w:t>
      </w:r>
    </w:p>
    <w:p w:rsidR="009716A4" w:rsidRPr="005117C3" w:rsidRDefault="009716A4" w:rsidP="009716A4">
      <w:pPr>
        <w:pStyle w:val="list0020paragraph"/>
        <w:spacing w:before="240"/>
        <w:ind w:hanging="360"/>
        <w:rPr>
          <w:sz w:val="22"/>
          <w:szCs w:val="22"/>
        </w:rPr>
      </w:pPr>
      <w:r w:rsidRPr="005117C3">
        <w:rPr>
          <w:sz w:val="22"/>
          <w:szCs w:val="22"/>
        </w:rPr>
        <w:t>1)     Age: ___________ (yrs)</w:t>
      </w:r>
    </w:p>
    <w:p w:rsidR="009716A4" w:rsidRPr="005117C3" w:rsidRDefault="009716A4" w:rsidP="009716A4">
      <w:pPr>
        <w:pStyle w:val="list0020paragraph"/>
        <w:ind w:hanging="360"/>
        <w:rPr>
          <w:sz w:val="22"/>
          <w:szCs w:val="22"/>
        </w:rPr>
      </w:pPr>
      <w:r w:rsidRPr="005117C3">
        <w:rPr>
          <w:sz w:val="22"/>
          <w:szCs w:val="22"/>
        </w:rPr>
        <w:t>2)     Sex:  Male / Female</w:t>
      </w:r>
    </w:p>
    <w:p w:rsidR="009716A4" w:rsidRPr="005117C3" w:rsidRDefault="009716A4" w:rsidP="009716A4">
      <w:pPr>
        <w:pStyle w:val="list0020paragraph"/>
        <w:ind w:hanging="360"/>
        <w:rPr>
          <w:sz w:val="22"/>
          <w:szCs w:val="22"/>
        </w:rPr>
      </w:pPr>
      <w:r w:rsidRPr="005117C3">
        <w:rPr>
          <w:sz w:val="22"/>
          <w:szCs w:val="22"/>
        </w:rPr>
        <w:t>3)     Race: Caucasian/ Hispanic/ Black/ Asian/ Indian/ other:</w:t>
      </w:r>
    </w:p>
    <w:p w:rsidR="009716A4" w:rsidRPr="005117C3" w:rsidRDefault="009716A4" w:rsidP="009716A4">
      <w:pPr>
        <w:pStyle w:val="list0020paragraph"/>
        <w:ind w:hanging="360"/>
        <w:rPr>
          <w:sz w:val="22"/>
          <w:szCs w:val="22"/>
        </w:rPr>
      </w:pPr>
      <w:r w:rsidRPr="005117C3">
        <w:rPr>
          <w:sz w:val="22"/>
          <w:szCs w:val="22"/>
        </w:rPr>
        <w:t>4)     Weight: _______ (lb)</w:t>
      </w:r>
    </w:p>
    <w:p w:rsidR="009716A4" w:rsidRPr="005117C3" w:rsidRDefault="009716A4" w:rsidP="009716A4">
      <w:pPr>
        <w:pStyle w:val="list0020paragraph"/>
        <w:ind w:hanging="360"/>
        <w:rPr>
          <w:sz w:val="22"/>
          <w:szCs w:val="22"/>
        </w:rPr>
      </w:pPr>
      <w:r w:rsidRPr="005117C3">
        <w:rPr>
          <w:sz w:val="22"/>
          <w:szCs w:val="22"/>
        </w:rPr>
        <w:t>5)     Height: _____ (m)</w:t>
      </w:r>
    </w:p>
    <w:p w:rsidR="009716A4" w:rsidRPr="005117C3" w:rsidRDefault="00403F9B" w:rsidP="009716A4">
      <w:pPr>
        <w:pStyle w:val="list0020paragraph"/>
        <w:ind w:hanging="360"/>
        <w:rPr>
          <w:sz w:val="22"/>
          <w:szCs w:val="22"/>
        </w:rPr>
      </w:pPr>
      <w:r>
        <w:rPr>
          <w:sz w:val="22"/>
          <w:szCs w:val="22"/>
        </w:rPr>
        <w:t xml:space="preserve">6)     </w:t>
      </w:r>
      <w:r w:rsidR="009716A4" w:rsidRPr="005117C3">
        <w:rPr>
          <w:sz w:val="22"/>
          <w:szCs w:val="22"/>
        </w:rPr>
        <w:t>BMI (weight/height^</w:t>
      </w:r>
      <w:r w:rsidR="009716A4" w:rsidRPr="005117C3">
        <w:rPr>
          <w:sz w:val="22"/>
          <w:szCs w:val="22"/>
          <w:vertAlign w:val="superscript"/>
        </w:rPr>
        <w:t>2</w:t>
      </w:r>
      <w:r w:rsidR="009716A4" w:rsidRPr="005117C3">
        <w:rPr>
          <w:sz w:val="22"/>
          <w:szCs w:val="22"/>
        </w:rPr>
        <w:t>): _________()</w:t>
      </w:r>
    </w:p>
    <w:p w:rsidR="009716A4" w:rsidRPr="005117C3" w:rsidRDefault="009716A4" w:rsidP="009716A4">
      <w:pPr>
        <w:pStyle w:val="list0020paragraph"/>
        <w:ind w:hanging="360"/>
        <w:rPr>
          <w:sz w:val="22"/>
          <w:szCs w:val="22"/>
        </w:rPr>
      </w:pPr>
      <w:r w:rsidRPr="005117C3">
        <w:rPr>
          <w:sz w:val="22"/>
          <w:szCs w:val="22"/>
        </w:rPr>
        <w:t xml:space="preserve">7)     History of smoking- </w:t>
      </w:r>
    </w:p>
    <w:p w:rsidR="009716A4" w:rsidRPr="005117C3" w:rsidRDefault="009716A4" w:rsidP="009716A4">
      <w:pPr>
        <w:pStyle w:val="list0020paragraph"/>
        <w:ind w:left="1440" w:hanging="360"/>
        <w:rPr>
          <w:sz w:val="22"/>
          <w:szCs w:val="22"/>
        </w:rPr>
      </w:pPr>
      <w:r w:rsidRPr="005117C3">
        <w:rPr>
          <w:rStyle w:val="list0020paragraphchar1"/>
          <w:sz w:val="22"/>
          <w:szCs w:val="22"/>
        </w:rPr>
        <w:t></w:t>
      </w:r>
      <w:r w:rsidRPr="005117C3">
        <w:rPr>
          <w:rFonts w:cs="Times New Roman"/>
          <w:sz w:val="22"/>
          <w:szCs w:val="22"/>
        </w:rPr>
        <w:t>     </w:t>
      </w:r>
      <w:r w:rsidRPr="005117C3">
        <w:rPr>
          <w:sz w:val="22"/>
          <w:szCs w:val="22"/>
        </w:rPr>
        <w:t>Current / former/ nonsmoker</w:t>
      </w:r>
    </w:p>
    <w:p w:rsidR="009716A4" w:rsidRPr="005117C3" w:rsidRDefault="009716A4" w:rsidP="009716A4">
      <w:pPr>
        <w:pStyle w:val="list0020paragraph"/>
        <w:ind w:hanging="360"/>
        <w:rPr>
          <w:sz w:val="22"/>
          <w:szCs w:val="22"/>
        </w:rPr>
      </w:pPr>
      <w:r w:rsidRPr="005117C3">
        <w:rPr>
          <w:sz w:val="22"/>
          <w:szCs w:val="22"/>
        </w:rPr>
        <w:t>8)     List of medications:</w:t>
      </w:r>
    </w:p>
    <w:p w:rsidR="009716A4" w:rsidRDefault="009716A4" w:rsidP="009716A4">
      <w:pPr>
        <w:pStyle w:val="list0020paragraph"/>
        <w:numPr>
          <w:ilvl w:val="0"/>
          <w:numId w:val="5"/>
        </w:numPr>
        <w:rPr>
          <w:sz w:val="22"/>
          <w:szCs w:val="22"/>
        </w:rPr>
      </w:pPr>
      <w:r w:rsidRPr="005117C3">
        <w:rPr>
          <w:sz w:val="22"/>
          <w:szCs w:val="22"/>
        </w:rPr>
        <w:t>Current IBD medications</w:t>
      </w:r>
      <w:r w:rsidR="00B42373">
        <w:rPr>
          <w:sz w:val="22"/>
          <w:szCs w:val="22"/>
        </w:rPr>
        <w:t>:</w:t>
      </w:r>
    </w:p>
    <w:p w:rsidR="00403F9B" w:rsidRPr="005117C3" w:rsidRDefault="00403F9B" w:rsidP="00403F9B">
      <w:pPr>
        <w:pStyle w:val="list0020paragraph"/>
        <w:numPr>
          <w:ilvl w:val="1"/>
          <w:numId w:val="5"/>
        </w:numPr>
        <w:rPr>
          <w:sz w:val="22"/>
          <w:szCs w:val="22"/>
        </w:rPr>
      </w:pPr>
    </w:p>
    <w:p w:rsidR="009716A4" w:rsidRDefault="009716A4" w:rsidP="009716A4">
      <w:pPr>
        <w:pStyle w:val="list0020paragraph"/>
        <w:numPr>
          <w:ilvl w:val="0"/>
          <w:numId w:val="5"/>
        </w:numPr>
        <w:rPr>
          <w:sz w:val="22"/>
          <w:szCs w:val="22"/>
        </w:rPr>
      </w:pPr>
      <w:r w:rsidRPr="005117C3">
        <w:rPr>
          <w:sz w:val="22"/>
          <w:szCs w:val="22"/>
        </w:rPr>
        <w:t>Prior IBD medications</w:t>
      </w:r>
      <w:r w:rsidR="00B42373">
        <w:rPr>
          <w:sz w:val="22"/>
          <w:szCs w:val="22"/>
        </w:rPr>
        <w:t xml:space="preserve">: </w:t>
      </w:r>
    </w:p>
    <w:p w:rsidR="00403F9B" w:rsidRPr="005117C3" w:rsidRDefault="00403F9B" w:rsidP="00403F9B">
      <w:pPr>
        <w:pStyle w:val="list0020paragraph"/>
        <w:numPr>
          <w:ilvl w:val="1"/>
          <w:numId w:val="5"/>
        </w:numPr>
        <w:rPr>
          <w:sz w:val="22"/>
          <w:szCs w:val="22"/>
        </w:rPr>
      </w:pPr>
    </w:p>
    <w:p w:rsidR="009716A4" w:rsidRPr="005117C3" w:rsidRDefault="009716A4" w:rsidP="009716A4">
      <w:pPr>
        <w:pStyle w:val="list0020paragraph"/>
        <w:numPr>
          <w:ilvl w:val="0"/>
          <w:numId w:val="5"/>
        </w:numPr>
        <w:rPr>
          <w:sz w:val="22"/>
          <w:szCs w:val="22"/>
        </w:rPr>
      </w:pPr>
      <w:r w:rsidRPr="005117C3">
        <w:rPr>
          <w:sz w:val="22"/>
          <w:szCs w:val="22"/>
        </w:rPr>
        <w:t>Last steroid use:</w:t>
      </w:r>
    </w:p>
    <w:p w:rsidR="009716A4" w:rsidRDefault="009716A4" w:rsidP="009716A4">
      <w:pPr>
        <w:pStyle w:val="list0020paragraph"/>
        <w:numPr>
          <w:ilvl w:val="0"/>
          <w:numId w:val="5"/>
        </w:numPr>
        <w:rPr>
          <w:sz w:val="22"/>
          <w:szCs w:val="22"/>
        </w:rPr>
      </w:pPr>
      <w:r w:rsidRPr="005117C3">
        <w:rPr>
          <w:sz w:val="22"/>
          <w:szCs w:val="22"/>
        </w:rPr>
        <w:t xml:space="preserve">Other current medications: </w:t>
      </w:r>
    </w:p>
    <w:p w:rsidR="00403F9B" w:rsidRDefault="00403F9B" w:rsidP="00403F9B">
      <w:pPr>
        <w:pStyle w:val="list0020paragraph"/>
        <w:numPr>
          <w:ilvl w:val="1"/>
          <w:numId w:val="5"/>
        </w:numPr>
        <w:rPr>
          <w:sz w:val="22"/>
          <w:szCs w:val="22"/>
        </w:rPr>
      </w:pPr>
    </w:p>
    <w:p w:rsidR="00403F9B" w:rsidRPr="009716A4" w:rsidRDefault="00403F9B" w:rsidP="00403F9B">
      <w:pPr>
        <w:pStyle w:val="list0020paragraph"/>
        <w:numPr>
          <w:ilvl w:val="1"/>
          <w:numId w:val="5"/>
        </w:numPr>
        <w:rPr>
          <w:sz w:val="22"/>
          <w:szCs w:val="22"/>
        </w:rPr>
      </w:pPr>
    </w:p>
    <w:p w:rsidR="00403F9B" w:rsidRDefault="00403F9B" w:rsidP="00403F9B">
      <w:pPr>
        <w:pStyle w:val="list0020paragraph"/>
        <w:ind w:hanging="360"/>
        <w:rPr>
          <w:rStyle w:val="list0020paragraphchar1"/>
        </w:rPr>
      </w:pPr>
    </w:p>
    <w:p w:rsidR="009716A4" w:rsidRPr="00403F9B" w:rsidRDefault="009716A4" w:rsidP="00403F9B">
      <w:pPr>
        <w:pStyle w:val="list0020paragraph"/>
        <w:ind w:hanging="360"/>
        <w:rPr>
          <w:rStyle w:val="list0020paragraphchar1"/>
        </w:rPr>
      </w:pPr>
      <w:r w:rsidRPr="005117C3">
        <w:rPr>
          <w:rStyle w:val="list0020paragraphchar1"/>
          <w:color w:val="141413"/>
          <w:sz w:val="22"/>
          <w:szCs w:val="22"/>
        </w:rPr>
        <w:t>9)</w:t>
      </w:r>
      <w:r w:rsidRPr="005117C3">
        <w:rPr>
          <w:rFonts w:cs="Times New Roman"/>
          <w:sz w:val="22"/>
          <w:szCs w:val="22"/>
        </w:rPr>
        <w:t>     </w:t>
      </w:r>
      <w:r w:rsidRPr="005117C3">
        <w:rPr>
          <w:rStyle w:val="list0020paragraphchar1"/>
          <w:color w:val="141413"/>
          <w:sz w:val="22"/>
          <w:szCs w:val="22"/>
        </w:rPr>
        <w:t xml:space="preserve">Type of IBD- </w:t>
      </w:r>
      <w:r w:rsidR="00403F9B">
        <w:rPr>
          <w:rStyle w:val="list0020paragraphchar1"/>
          <w:color w:val="141413"/>
          <w:sz w:val="22"/>
          <w:szCs w:val="22"/>
        </w:rPr>
        <w:t xml:space="preserve">     </w:t>
      </w:r>
      <w:r w:rsidRPr="005117C3">
        <w:rPr>
          <w:rStyle w:val="list0020paragraphchar1"/>
          <w:color w:val="141413"/>
          <w:sz w:val="22"/>
          <w:szCs w:val="22"/>
        </w:rPr>
        <w:t>C</w:t>
      </w:r>
      <w:r w:rsidR="00403F9B">
        <w:rPr>
          <w:rStyle w:val="list0020paragraphchar1"/>
          <w:color w:val="141413"/>
          <w:sz w:val="22"/>
          <w:szCs w:val="22"/>
        </w:rPr>
        <w:t>ROHNS</w:t>
      </w:r>
      <w:r w:rsidRPr="005117C3">
        <w:rPr>
          <w:rStyle w:val="list0020paragraphchar1"/>
          <w:color w:val="141413"/>
          <w:sz w:val="22"/>
          <w:szCs w:val="22"/>
        </w:rPr>
        <w:t>/</w:t>
      </w:r>
      <w:r w:rsidR="00403F9B">
        <w:rPr>
          <w:rStyle w:val="list0020paragraphchar1"/>
          <w:color w:val="141413"/>
          <w:sz w:val="22"/>
          <w:szCs w:val="22"/>
        </w:rPr>
        <w:t xml:space="preserve"> </w:t>
      </w:r>
      <w:r w:rsidRPr="005117C3">
        <w:rPr>
          <w:rStyle w:val="list0020paragraphchar1"/>
          <w:color w:val="141413"/>
          <w:sz w:val="22"/>
          <w:szCs w:val="22"/>
        </w:rPr>
        <w:t>U</w:t>
      </w:r>
      <w:r w:rsidR="00403F9B">
        <w:rPr>
          <w:rStyle w:val="list0020paragraphchar1"/>
          <w:color w:val="141413"/>
          <w:sz w:val="22"/>
          <w:szCs w:val="22"/>
        </w:rPr>
        <w:t>L</w:t>
      </w:r>
      <w:r w:rsidRPr="005117C3">
        <w:rPr>
          <w:rStyle w:val="list0020paragraphchar1"/>
          <w:color w:val="141413"/>
          <w:sz w:val="22"/>
          <w:szCs w:val="22"/>
        </w:rPr>
        <w:t>C</w:t>
      </w:r>
      <w:r w:rsidR="00403F9B">
        <w:rPr>
          <w:rStyle w:val="list0020paragraphchar1"/>
          <w:color w:val="141413"/>
          <w:sz w:val="22"/>
          <w:szCs w:val="22"/>
        </w:rPr>
        <w:t>ERATIVE COLITIS / INDETERMINATE</w:t>
      </w:r>
    </w:p>
    <w:p w:rsidR="00403F9B" w:rsidRPr="005117C3" w:rsidRDefault="00403F9B" w:rsidP="009716A4">
      <w:pPr>
        <w:pStyle w:val="list0020paragraph"/>
        <w:ind w:hanging="360"/>
        <w:rPr>
          <w:rFonts w:cs="Times New Roman"/>
          <w:sz w:val="22"/>
          <w:szCs w:val="22"/>
        </w:rPr>
      </w:pPr>
    </w:p>
    <w:p w:rsidR="009716A4" w:rsidRPr="005117C3" w:rsidRDefault="009716A4" w:rsidP="009716A4">
      <w:pPr>
        <w:pStyle w:val="list0020paragraph"/>
        <w:ind w:hanging="360"/>
        <w:rPr>
          <w:sz w:val="22"/>
          <w:szCs w:val="22"/>
        </w:rPr>
      </w:pPr>
      <w:r w:rsidRPr="005117C3">
        <w:rPr>
          <w:sz w:val="22"/>
          <w:szCs w:val="22"/>
        </w:rPr>
        <w:t>10)     Duration of Inflammatory bowel Disease- IBD:</w:t>
      </w:r>
      <w:r w:rsidR="00403F9B">
        <w:rPr>
          <w:sz w:val="22"/>
          <w:szCs w:val="22"/>
        </w:rPr>
        <w:t xml:space="preserve">   </w:t>
      </w:r>
      <w:r w:rsidRPr="005117C3">
        <w:rPr>
          <w:sz w:val="22"/>
          <w:szCs w:val="22"/>
        </w:rPr>
        <w:t xml:space="preserve"> _____ (yrs)</w:t>
      </w:r>
    </w:p>
    <w:p w:rsidR="00403F9B" w:rsidRDefault="00403F9B" w:rsidP="009716A4">
      <w:pPr>
        <w:pStyle w:val="list0020paragraph"/>
        <w:ind w:hanging="360"/>
        <w:rPr>
          <w:sz w:val="22"/>
          <w:szCs w:val="22"/>
        </w:rPr>
      </w:pPr>
    </w:p>
    <w:p w:rsidR="009716A4" w:rsidRPr="005117C3" w:rsidRDefault="009716A4" w:rsidP="009716A4">
      <w:pPr>
        <w:pStyle w:val="list0020paragraph"/>
        <w:ind w:hanging="360"/>
        <w:rPr>
          <w:sz w:val="22"/>
          <w:szCs w:val="22"/>
        </w:rPr>
      </w:pPr>
      <w:r w:rsidRPr="005117C3">
        <w:rPr>
          <w:sz w:val="22"/>
          <w:szCs w:val="22"/>
        </w:rPr>
        <w:t xml:space="preserve">11)      Location/ subtype of IBD: </w:t>
      </w:r>
    </w:p>
    <w:p w:rsidR="009716A4" w:rsidRPr="005117C3" w:rsidRDefault="009716A4" w:rsidP="009716A4">
      <w:pPr>
        <w:pStyle w:val="list0020paragraph"/>
        <w:ind w:left="1440" w:hanging="360"/>
        <w:rPr>
          <w:sz w:val="22"/>
          <w:szCs w:val="22"/>
        </w:rPr>
      </w:pPr>
      <w:r w:rsidRPr="005117C3">
        <w:rPr>
          <w:rStyle w:val="list0020paragraphchar1"/>
          <w:sz w:val="22"/>
          <w:szCs w:val="22"/>
        </w:rPr>
        <w:t></w:t>
      </w:r>
      <w:r w:rsidRPr="005117C3">
        <w:rPr>
          <w:rFonts w:cs="Times New Roman"/>
          <w:sz w:val="22"/>
          <w:szCs w:val="22"/>
        </w:rPr>
        <w:t>     </w:t>
      </w:r>
      <w:r w:rsidR="00403F9B">
        <w:rPr>
          <w:sz w:val="22"/>
          <w:szCs w:val="22"/>
        </w:rPr>
        <w:t>Upper GI/  Jejuno-ileitis /  I</w:t>
      </w:r>
      <w:r w:rsidRPr="005117C3">
        <w:rPr>
          <w:sz w:val="22"/>
          <w:szCs w:val="22"/>
        </w:rPr>
        <w:t>l</w:t>
      </w:r>
      <w:r w:rsidR="00403F9B">
        <w:rPr>
          <w:sz w:val="22"/>
          <w:szCs w:val="22"/>
        </w:rPr>
        <w:t>eitis / Ileo-colitis/ Colitis/  P</w:t>
      </w:r>
      <w:r w:rsidRPr="005117C3">
        <w:rPr>
          <w:sz w:val="22"/>
          <w:szCs w:val="22"/>
        </w:rPr>
        <w:t>roctitis</w:t>
      </w:r>
    </w:p>
    <w:p w:rsidR="00403F9B" w:rsidRDefault="00403F9B" w:rsidP="009716A4">
      <w:pPr>
        <w:pStyle w:val="list0020paragraph"/>
        <w:ind w:hanging="360"/>
        <w:rPr>
          <w:sz w:val="22"/>
          <w:szCs w:val="22"/>
        </w:rPr>
      </w:pPr>
    </w:p>
    <w:p w:rsidR="00403F9B" w:rsidRDefault="009716A4" w:rsidP="009716A4">
      <w:pPr>
        <w:pStyle w:val="list0020paragraph"/>
        <w:ind w:hanging="360"/>
        <w:rPr>
          <w:sz w:val="22"/>
          <w:szCs w:val="22"/>
        </w:rPr>
      </w:pPr>
      <w:r w:rsidRPr="005117C3">
        <w:rPr>
          <w:sz w:val="22"/>
          <w:szCs w:val="22"/>
        </w:rPr>
        <w:t>12)    </w:t>
      </w:r>
      <w:r w:rsidR="00403F9B">
        <w:rPr>
          <w:sz w:val="22"/>
          <w:szCs w:val="22"/>
        </w:rPr>
        <w:t xml:space="preserve">Have you had a </w:t>
      </w:r>
      <w:r w:rsidRPr="005117C3">
        <w:rPr>
          <w:sz w:val="22"/>
          <w:szCs w:val="22"/>
        </w:rPr>
        <w:t xml:space="preserve"> small bowel resection</w:t>
      </w:r>
      <w:r w:rsidR="00403F9B">
        <w:rPr>
          <w:sz w:val="22"/>
          <w:szCs w:val="22"/>
        </w:rPr>
        <w:t xml:space="preserve"> in the past- Yes/No</w:t>
      </w:r>
    </w:p>
    <w:p w:rsidR="009716A4" w:rsidRPr="005117C3" w:rsidRDefault="009716A4" w:rsidP="009716A4">
      <w:pPr>
        <w:pStyle w:val="list0020paragraph"/>
        <w:ind w:hanging="360"/>
        <w:rPr>
          <w:sz w:val="22"/>
          <w:szCs w:val="22"/>
        </w:rPr>
      </w:pPr>
      <w:r w:rsidRPr="005117C3">
        <w:rPr>
          <w:sz w:val="22"/>
          <w:szCs w:val="22"/>
        </w:rPr>
        <w:t xml:space="preserve"> </w:t>
      </w:r>
    </w:p>
    <w:p w:rsidR="009716A4" w:rsidRDefault="009716A4" w:rsidP="009716A4">
      <w:pPr>
        <w:pStyle w:val="list0020paragraph"/>
        <w:ind w:left="1440" w:hanging="360"/>
        <w:rPr>
          <w:sz w:val="22"/>
          <w:szCs w:val="22"/>
        </w:rPr>
      </w:pPr>
      <w:r w:rsidRPr="005117C3">
        <w:rPr>
          <w:rStyle w:val="list0020paragraphchar1"/>
          <w:sz w:val="22"/>
          <w:szCs w:val="22"/>
        </w:rPr>
        <w:t></w:t>
      </w:r>
      <w:r w:rsidRPr="005117C3">
        <w:rPr>
          <w:rFonts w:cs="Times New Roman"/>
          <w:sz w:val="22"/>
          <w:szCs w:val="22"/>
        </w:rPr>
        <w:t>     </w:t>
      </w:r>
      <w:r w:rsidRPr="005117C3">
        <w:rPr>
          <w:sz w:val="22"/>
          <w:szCs w:val="22"/>
        </w:rPr>
        <w:t>If yes; what type of surgery?</w:t>
      </w:r>
      <w:r w:rsidR="00403F9B">
        <w:rPr>
          <w:sz w:val="22"/>
          <w:szCs w:val="22"/>
        </w:rPr>
        <w:t>____________________________</w:t>
      </w:r>
    </w:p>
    <w:p w:rsidR="00403F9B" w:rsidRPr="00403F9B" w:rsidRDefault="00403F9B" w:rsidP="009716A4">
      <w:pPr>
        <w:pStyle w:val="list0020paragraph"/>
        <w:ind w:left="1440" w:hanging="360"/>
        <w:rPr>
          <w:sz w:val="22"/>
          <w:szCs w:val="22"/>
          <w:u w:val="single"/>
        </w:rPr>
      </w:pPr>
    </w:p>
    <w:p w:rsidR="009716A4" w:rsidRDefault="009716A4" w:rsidP="009716A4">
      <w:pPr>
        <w:pStyle w:val="list0020paragraph"/>
        <w:ind w:hanging="360"/>
        <w:rPr>
          <w:sz w:val="22"/>
          <w:szCs w:val="22"/>
        </w:rPr>
      </w:pPr>
      <w:r w:rsidRPr="005117C3">
        <w:rPr>
          <w:sz w:val="22"/>
          <w:szCs w:val="22"/>
        </w:rPr>
        <w:t>15)     </w:t>
      </w:r>
      <w:r w:rsidR="00403F9B">
        <w:rPr>
          <w:sz w:val="22"/>
          <w:szCs w:val="22"/>
        </w:rPr>
        <w:t xml:space="preserve">Are you </w:t>
      </w:r>
      <w:r w:rsidR="005F3F40">
        <w:rPr>
          <w:sz w:val="22"/>
          <w:szCs w:val="22"/>
        </w:rPr>
        <w:t xml:space="preserve">currently </w:t>
      </w:r>
      <w:r w:rsidR="00403F9B">
        <w:rPr>
          <w:sz w:val="22"/>
          <w:szCs w:val="22"/>
        </w:rPr>
        <w:t>o</w:t>
      </w:r>
      <w:r w:rsidRPr="005117C3">
        <w:rPr>
          <w:sz w:val="22"/>
          <w:szCs w:val="22"/>
        </w:rPr>
        <w:t xml:space="preserve">n </w:t>
      </w:r>
      <w:r w:rsidR="005F3F40">
        <w:rPr>
          <w:sz w:val="22"/>
          <w:szCs w:val="22"/>
        </w:rPr>
        <w:t xml:space="preserve">any </w:t>
      </w:r>
      <w:r w:rsidRPr="005117C3">
        <w:rPr>
          <w:sz w:val="22"/>
          <w:szCs w:val="22"/>
        </w:rPr>
        <w:t>vit</w:t>
      </w:r>
      <w:r w:rsidR="00403F9B">
        <w:rPr>
          <w:sz w:val="22"/>
          <w:szCs w:val="22"/>
        </w:rPr>
        <w:t>amin D supplementation: Y</w:t>
      </w:r>
      <w:r w:rsidRPr="005117C3">
        <w:rPr>
          <w:sz w:val="22"/>
          <w:szCs w:val="22"/>
        </w:rPr>
        <w:t xml:space="preserve">es/ No </w:t>
      </w:r>
    </w:p>
    <w:p w:rsidR="005F3F40" w:rsidRPr="005117C3" w:rsidRDefault="005F3F40" w:rsidP="009716A4">
      <w:pPr>
        <w:pStyle w:val="list0020paragraph"/>
        <w:ind w:hanging="360"/>
        <w:rPr>
          <w:sz w:val="22"/>
          <w:szCs w:val="22"/>
        </w:rPr>
      </w:pPr>
    </w:p>
    <w:p w:rsidR="009716A4" w:rsidRDefault="009716A4" w:rsidP="009716A4">
      <w:pPr>
        <w:pStyle w:val="list0020paragraph"/>
        <w:numPr>
          <w:ilvl w:val="0"/>
          <w:numId w:val="6"/>
        </w:numPr>
        <w:rPr>
          <w:sz w:val="22"/>
          <w:szCs w:val="22"/>
        </w:rPr>
      </w:pPr>
      <w:r w:rsidRPr="005117C3">
        <w:rPr>
          <w:sz w:val="22"/>
          <w:szCs w:val="22"/>
        </w:rPr>
        <w:t>If yes;</w:t>
      </w:r>
      <w:r w:rsidR="005F3F40">
        <w:rPr>
          <w:sz w:val="22"/>
          <w:szCs w:val="22"/>
        </w:rPr>
        <w:t xml:space="preserve">  H</w:t>
      </w:r>
      <w:r w:rsidRPr="005117C3">
        <w:rPr>
          <w:sz w:val="22"/>
          <w:szCs w:val="22"/>
        </w:rPr>
        <w:t>ow much? ______________ IU</w:t>
      </w:r>
    </w:p>
    <w:p w:rsidR="00403F9B" w:rsidRPr="005117C3" w:rsidRDefault="00403F9B" w:rsidP="005F3F40">
      <w:pPr>
        <w:pStyle w:val="list0020paragraph"/>
        <w:ind w:left="2160"/>
        <w:rPr>
          <w:sz w:val="22"/>
          <w:szCs w:val="22"/>
        </w:rPr>
      </w:pPr>
    </w:p>
    <w:p w:rsidR="009716A4" w:rsidRDefault="009716A4" w:rsidP="009716A4">
      <w:pPr>
        <w:pStyle w:val="list0020paragraph"/>
        <w:ind w:hanging="360"/>
        <w:rPr>
          <w:sz w:val="22"/>
          <w:szCs w:val="22"/>
        </w:rPr>
      </w:pPr>
      <w:r w:rsidRPr="005117C3">
        <w:rPr>
          <w:sz w:val="22"/>
          <w:szCs w:val="22"/>
        </w:rPr>
        <w:t xml:space="preserve">16)     Type of Occupation: </w:t>
      </w:r>
      <w:r w:rsidRPr="00B42373">
        <w:rPr>
          <w:sz w:val="22"/>
          <w:szCs w:val="22"/>
          <w:u w:val="single"/>
        </w:rPr>
        <w:t>___________</w:t>
      </w:r>
      <w:r w:rsidR="00B42373" w:rsidRPr="00B42373">
        <w:rPr>
          <w:sz w:val="22"/>
          <w:szCs w:val="22"/>
          <w:u w:val="single"/>
        </w:rPr>
        <w:t xml:space="preserve">              </w:t>
      </w:r>
      <w:r w:rsidR="00B42373">
        <w:rPr>
          <w:sz w:val="22"/>
          <w:szCs w:val="22"/>
        </w:rPr>
        <w:t xml:space="preserve"> </w:t>
      </w:r>
      <w:r w:rsidRPr="005117C3">
        <w:rPr>
          <w:sz w:val="22"/>
          <w:szCs w:val="22"/>
        </w:rPr>
        <w:t>;</w:t>
      </w:r>
      <w:r w:rsidR="005F3F40">
        <w:rPr>
          <w:sz w:val="22"/>
          <w:szCs w:val="22"/>
        </w:rPr>
        <w:t xml:space="preserve"> mostly </w:t>
      </w:r>
      <w:r w:rsidRPr="005117C3">
        <w:rPr>
          <w:sz w:val="22"/>
          <w:szCs w:val="22"/>
        </w:rPr>
        <w:t xml:space="preserve"> Indoor/ outdoor</w:t>
      </w:r>
      <w:r w:rsidR="005F3F40">
        <w:rPr>
          <w:sz w:val="22"/>
          <w:szCs w:val="22"/>
        </w:rPr>
        <w:t>/ mixed</w:t>
      </w:r>
    </w:p>
    <w:p w:rsidR="00403F9B" w:rsidRPr="005117C3" w:rsidRDefault="00403F9B" w:rsidP="009716A4">
      <w:pPr>
        <w:pStyle w:val="list0020paragraph"/>
        <w:ind w:hanging="360"/>
        <w:rPr>
          <w:sz w:val="22"/>
          <w:szCs w:val="22"/>
        </w:rPr>
      </w:pPr>
    </w:p>
    <w:p w:rsidR="00B42373" w:rsidRDefault="009716A4" w:rsidP="009716A4">
      <w:pPr>
        <w:autoSpaceDE w:val="0"/>
        <w:autoSpaceDN w:val="0"/>
        <w:adjustRightInd w:val="0"/>
        <w:ind w:left="360"/>
        <w:rPr>
          <w:sz w:val="22"/>
          <w:szCs w:val="22"/>
        </w:rPr>
      </w:pPr>
      <w:r w:rsidRPr="005117C3">
        <w:rPr>
          <w:sz w:val="22"/>
          <w:szCs w:val="22"/>
        </w:rPr>
        <w:t>17)     </w:t>
      </w:r>
      <w:r w:rsidRPr="00FF69E9">
        <w:rPr>
          <w:sz w:val="22"/>
          <w:szCs w:val="22"/>
        </w:rPr>
        <w:t>Sun exposure- No of hours/day in the sun</w:t>
      </w:r>
      <w:r w:rsidR="00B42373">
        <w:rPr>
          <w:sz w:val="22"/>
          <w:szCs w:val="22"/>
        </w:rPr>
        <w:t>:</w:t>
      </w:r>
    </w:p>
    <w:p w:rsidR="009716A4" w:rsidRPr="00FF69E9" w:rsidRDefault="009716A4" w:rsidP="009716A4">
      <w:pPr>
        <w:autoSpaceDE w:val="0"/>
        <w:autoSpaceDN w:val="0"/>
        <w:adjustRightInd w:val="0"/>
        <w:ind w:left="360"/>
        <w:rPr>
          <w:rFonts w:cs="Times New Roman"/>
          <w:color w:val="131413"/>
          <w:sz w:val="22"/>
          <w:szCs w:val="22"/>
        </w:rPr>
      </w:pPr>
      <w:r w:rsidRPr="00FF69E9">
        <w:rPr>
          <w:color w:val="131413"/>
          <w:sz w:val="22"/>
          <w:szCs w:val="22"/>
        </w:rPr>
        <w:t>Ave</w:t>
      </w:r>
      <w:r>
        <w:rPr>
          <w:color w:val="131413"/>
          <w:sz w:val="22"/>
          <w:szCs w:val="22"/>
        </w:rPr>
        <w:t xml:space="preserve">rage number of days per week </w:t>
      </w:r>
      <w:r w:rsidRPr="00FF69E9">
        <w:rPr>
          <w:color w:val="131413"/>
          <w:sz w:val="22"/>
          <w:szCs w:val="22"/>
        </w:rPr>
        <w:t>with &gt;2 midday hours exposure to sunlight during summer</w:t>
      </w:r>
      <w:r>
        <w:rPr>
          <w:color w:val="131413"/>
          <w:sz w:val="22"/>
          <w:szCs w:val="22"/>
        </w:rPr>
        <w:t xml:space="preserve">: </w:t>
      </w:r>
    </w:p>
    <w:p w:rsidR="009716A4" w:rsidRDefault="009716A4" w:rsidP="009716A4">
      <w:pPr>
        <w:pStyle w:val="Heading4"/>
        <w:rPr>
          <w:rFonts w:ascii="Cambria" w:eastAsia="MS ??" w:hAnsi="Cambria" w:cs="Times New Roman"/>
          <w:i w:val="0"/>
          <w:iCs w:val="0"/>
          <w:color w:val="auto"/>
          <w:sz w:val="22"/>
          <w:szCs w:val="22"/>
          <w:u w:val="single"/>
        </w:rPr>
      </w:pPr>
    </w:p>
    <w:p w:rsidR="00044E4F" w:rsidRDefault="00044E4F" w:rsidP="00044E4F"/>
    <w:p w:rsidR="00044E4F" w:rsidRDefault="00044E4F" w:rsidP="00044E4F"/>
    <w:p w:rsidR="00044E4F" w:rsidRDefault="00044E4F" w:rsidP="00044E4F"/>
    <w:p w:rsidR="00141D4D" w:rsidRDefault="00141D4D" w:rsidP="009716A4">
      <w:bookmarkStart w:id="0" w:name="_GoBack"/>
      <w:bookmarkEnd w:id="0"/>
    </w:p>
    <w:p w:rsidR="00DE55F5" w:rsidRDefault="00DE55F5" w:rsidP="009716A4">
      <w:pPr>
        <w:rPr>
          <w:b/>
          <w:bCs/>
          <w:sz w:val="22"/>
          <w:szCs w:val="22"/>
          <w:u w:val="single"/>
        </w:rPr>
      </w:pPr>
    </w:p>
    <w:p w:rsidR="00DE55F5" w:rsidRDefault="00DE55F5" w:rsidP="009716A4">
      <w:pPr>
        <w:rPr>
          <w:b/>
          <w:bCs/>
          <w:sz w:val="22"/>
          <w:szCs w:val="22"/>
          <w:u w:val="single"/>
        </w:rPr>
      </w:pPr>
    </w:p>
    <w:p w:rsidR="00DE55F5" w:rsidRDefault="00DE55F5" w:rsidP="009716A4">
      <w:pPr>
        <w:rPr>
          <w:b/>
          <w:bCs/>
          <w:sz w:val="22"/>
          <w:szCs w:val="22"/>
          <w:u w:val="single"/>
        </w:rPr>
      </w:pPr>
    </w:p>
    <w:p w:rsidR="009716A4" w:rsidRDefault="009716A4" w:rsidP="009716A4">
      <w:pPr>
        <w:rPr>
          <w:b/>
          <w:bCs/>
          <w:sz w:val="22"/>
          <w:szCs w:val="22"/>
          <w:u w:val="single"/>
        </w:rPr>
      </w:pPr>
      <w:r>
        <w:rPr>
          <w:noProof/>
        </w:rPr>
        <w:drawing>
          <wp:anchor distT="0" distB="0" distL="114300" distR="114300" simplePos="0" relativeHeight="251661312" behindDoc="0" locked="0" layoutInCell="1" allowOverlap="1">
            <wp:simplePos x="0" y="0"/>
            <wp:positionH relativeFrom="column">
              <wp:posOffset>-825500</wp:posOffset>
            </wp:positionH>
            <wp:positionV relativeFrom="paragraph">
              <wp:posOffset>327660</wp:posOffset>
            </wp:positionV>
            <wp:extent cx="7214870" cy="8839200"/>
            <wp:effectExtent l="1905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7214870" cy="8839200"/>
                    </a:xfrm>
                    <a:prstGeom prst="rect">
                      <a:avLst/>
                    </a:prstGeom>
                    <a:noFill/>
                  </pic:spPr>
                </pic:pic>
              </a:graphicData>
            </a:graphic>
          </wp:anchor>
        </w:drawing>
      </w:r>
      <w:r>
        <w:rPr>
          <w:b/>
          <w:bCs/>
          <w:sz w:val="22"/>
          <w:szCs w:val="22"/>
          <w:u w:val="single"/>
        </w:rPr>
        <w:t>Questionnaire 1: Short IBD Quality of life tool</w:t>
      </w:r>
    </w:p>
    <w:p w:rsidR="009716A4" w:rsidRDefault="009716A4" w:rsidP="009716A4">
      <w:pPr>
        <w:rPr>
          <w:rFonts w:cs="Times New Roman"/>
          <w:b/>
          <w:bCs/>
          <w:sz w:val="22"/>
          <w:szCs w:val="22"/>
          <w:u w:val="single"/>
        </w:rPr>
      </w:pPr>
      <w:r>
        <w:rPr>
          <w:rFonts w:cs="Times New Roman"/>
          <w:b/>
          <w:bCs/>
          <w:noProof/>
          <w:sz w:val="22"/>
          <w:szCs w:val="22"/>
          <w:u w:val="single"/>
        </w:rPr>
        <w:drawing>
          <wp:anchor distT="0" distB="0" distL="114300" distR="114300" simplePos="0" relativeHeight="251662336" behindDoc="0" locked="1" layoutInCell="1" allowOverlap="1">
            <wp:simplePos x="0" y="0"/>
            <wp:positionH relativeFrom="column">
              <wp:posOffset>-105410</wp:posOffset>
            </wp:positionH>
            <wp:positionV relativeFrom="paragraph">
              <wp:posOffset>-248285</wp:posOffset>
            </wp:positionV>
            <wp:extent cx="6290945" cy="968502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6290945" cy="9685020"/>
                    </a:xfrm>
                    <a:prstGeom prst="rect">
                      <a:avLst/>
                    </a:prstGeom>
                    <a:noFill/>
                  </pic:spPr>
                </pic:pic>
              </a:graphicData>
            </a:graphic>
          </wp:anchor>
        </w:drawing>
      </w:r>
      <w:r w:rsidR="00F50B22">
        <w:rPr>
          <w:rFonts w:cs="Times New Roman"/>
          <w:b/>
          <w:bCs/>
          <w:noProof/>
          <w:sz w:val="22"/>
          <w:szCs w:val="22"/>
          <w:u w:val="single"/>
        </w:rPr>
      </w:r>
      <w:r w:rsidR="00F50B22" w:rsidRPr="00F50B22">
        <w:rPr>
          <w:rFonts w:cs="Times New Roman"/>
          <w:b/>
          <w:bCs/>
          <w:noProof/>
          <w:sz w:val="22"/>
          <w:szCs w:val="22"/>
          <w:u w:val="single"/>
        </w:rPr>
        <w:pict>
          <v:group id="Group 2" o:spid="_x0000_s1026" style="width:568.1pt;height:734.7pt;mso-position-horizontal-relative:char;mso-position-vertical-relative:line" coordsize="11362,146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">
            <o:lock v:ext="edit" aspectratio="t"/>
            <v:rect id="AutoShape 3" o:spid="_x0000_s1027" style="position:absolute;width:11362;height:146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w10:wrap type="none"/>
            <w10:anchorlock/>
          </v:group>
        </w:pict>
      </w:r>
    </w:p>
    <w:p w:rsidR="009716A4" w:rsidRPr="006D1F1A" w:rsidRDefault="009716A4" w:rsidP="009716A4">
      <w:pPr>
        <w:rPr>
          <w:rFonts w:cs="Times New Roman"/>
          <w:b/>
          <w:bCs/>
          <w:sz w:val="22"/>
          <w:szCs w:val="22"/>
          <w:u w:val="single"/>
        </w:rPr>
      </w:pPr>
      <w:r w:rsidRPr="00CD1E16">
        <w:rPr>
          <w:b/>
          <w:bCs/>
          <w:sz w:val="22"/>
          <w:szCs w:val="22"/>
          <w:u w:val="single"/>
        </w:rPr>
        <w:t xml:space="preserve">Questionnaire 2: </w:t>
      </w:r>
    </w:p>
    <w:tbl>
      <w:tblPr>
        <w:tblW w:w="0" w:type="auto"/>
        <w:tblCellSpacing w:w="15" w:type="dxa"/>
        <w:tblInd w:w="2" w:type="dxa"/>
        <w:tblCellMar>
          <w:top w:w="15" w:type="dxa"/>
          <w:left w:w="15" w:type="dxa"/>
          <w:bottom w:w="15" w:type="dxa"/>
          <w:right w:w="15" w:type="dxa"/>
        </w:tblCellMar>
        <w:tblLook w:val="00A0"/>
      </w:tblPr>
      <w:tblGrid>
        <w:gridCol w:w="7595"/>
        <w:gridCol w:w="125"/>
      </w:tblGrid>
      <w:tr w:rsidR="009716A4" w:rsidRPr="006D6249">
        <w:trPr>
          <w:tblCellSpacing w:w="15" w:type="dxa"/>
        </w:trPr>
        <w:tc>
          <w:tcPr>
            <w:tcW w:w="0" w:type="auto"/>
            <w:vAlign w:val="center"/>
          </w:tcPr>
          <w:p w:rsidR="009716A4" w:rsidRPr="006D6249" w:rsidRDefault="009716A4" w:rsidP="00AD156C">
            <w:pPr>
              <w:autoSpaceDE w:val="0"/>
              <w:autoSpaceDN w:val="0"/>
              <w:adjustRightInd w:val="0"/>
              <w:rPr>
                <w:rFonts w:cs="Times New Roman"/>
                <w:b/>
                <w:bCs/>
                <w:u w:val="single"/>
              </w:rPr>
            </w:pPr>
            <w:r w:rsidRPr="006D6249">
              <w:rPr>
                <w:b/>
                <w:bCs/>
                <w:sz w:val="22"/>
                <w:szCs w:val="22"/>
                <w:u w:val="single"/>
              </w:rPr>
              <w:t xml:space="preserve">Mayo Scoring System for Assessment of Ulcerative Colitis Activity : </w:t>
            </w:r>
            <w:r w:rsidR="00DE55F5">
              <w:rPr>
                <w:sz w:val="22"/>
                <w:szCs w:val="22"/>
              </w:rPr>
              <w:t>(22</w:t>
            </w:r>
            <w:r w:rsidRPr="006D6249">
              <w:rPr>
                <w:sz w:val="22"/>
                <w:szCs w:val="22"/>
              </w:rPr>
              <w:t>)</w:t>
            </w:r>
          </w:p>
          <w:p w:rsidR="009716A4" w:rsidRPr="006D6249" w:rsidRDefault="009716A4" w:rsidP="00AD156C">
            <w:pPr>
              <w:autoSpaceDE w:val="0"/>
              <w:autoSpaceDN w:val="0"/>
              <w:adjustRightInd w:val="0"/>
              <w:rPr>
                <w:rFonts w:cs="Times New Roman"/>
                <w:b/>
                <w:bCs/>
                <w:u w:val="single"/>
              </w:rPr>
            </w:pPr>
          </w:p>
          <w:p w:rsidR="009716A4" w:rsidRPr="006D6249" w:rsidRDefault="009716A4" w:rsidP="00AD156C">
            <w:pPr>
              <w:autoSpaceDE w:val="0"/>
              <w:autoSpaceDN w:val="0"/>
              <w:adjustRightInd w:val="0"/>
              <w:rPr>
                <w:rFonts w:eastAsia="NEJMScalaSansLF-Regular"/>
                <w:b/>
                <w:bCs/>
              </w:rPr>
            </w:pPr>
            <w:r w:rsidRPr="006D6249">
              <w:rPr>
                <w:rFonts w:eastAsia="NEJMScalaSansLF-Regular"/>
                <w:b/>
                <w:bCs/>
                <w:sz w:val="22"/>
                <w:szCs w:val="22"/>
              </w:rPr>
              <w:t>Stool frequency</w:t>
            </w:r>
          </w:p>
          <w:p w:rsidR="009716A4" w:rsidRPr="006D6249" w:rsidRDefault="009716A4" w:rsidP="00AD156C">
            <w:pPr>
              <w:autoSpaceDE w:val="0"/>
              <w:autoSpaceDN w:val="0"/>
              <w:adjustRightInd w:val="0"/>
              <w:rPr>
                <w:rFonts w:eastAsia="NEJMScalaSansLF-Regular"/>
              </w:rPr>
            </w:pPr>
            <w:r w:rsidRPr="006D6249">
              <w:rPr>
                <w:rFonts w:eastAsia="NEJMScalaSansLF-Regular"/>
                <w:sz w:val="22"/>
                <w:szCs w:val="22"/>
              </w:rPr>
              <w:t>0 = Normal no. of stools for this patient</w:t>
            </w:r>
          </w:p>
          <w:p w:rsidR="009716A4" w:rsidRPr="006D6249" w:rsidRDefault="009716A4" w:rsidP="00AD156C">
            <w:pPr>
              <w:autoSpaceDE w:val="0"/>
              <w:autoSpaceDN w:val="0"/>
              <w:adjustRightInd w:val="0"/>
              <w:rPr>
                <w:rFonts w:eastAsia="NEJMScalaSansLF-Regular"/>
              </w:rPr>
            </w:pPr>
            <w:r w:rsidRPr="006D6249">
              <w:rPr>
                <w:rFonts w:eastAsia="NEJMScalaSansLF-Regular"/>
                <w:sz w:val="22"/>
                <w:szCs w:val="22"/>
              </w:rPr>
              <w:t>1 = 1 to 2 stools more than normal</w:t>
            </w:r>
          </w:p>
          <w:p w:rsidR="009716A4" w:rsidRPr="006D6249" w:rsidRDefault="009716A4" w:rsidP="00AD156C">
            <w:pPr>
              <w:autoSpaceDE w:val="0"/>
              <w:autoSpaceDN w:val="0"/>
              <w:adjustRightInd w:val="0"/>
              <w:rPr>
                <w:rFonts w:eastAsia="NEJMScalaSansLF-Regular"/>
              </w:rPr>
            </w:pPr>
            <w:r w:rsidRPr="006D6249">
              <w:rPr>
                <w:rFonts w:eastAsia="NEJMScalaSansLF-Regular"/>
                <w:sz w:val="22"/>
                <w:szCs w:val="22"/>
              </w:rPr>
              <w:t>2 = 3 to 4 stools more than normal</w:t>
            </w:r>
          </w:p>
          <w:p w:rsidR="009716A4" w:rsidRPr="006D6249" w:rsidRDefault="009716A4" w:rsidP="00AD156C">
            <w:pPr>
              <w:autoSpaceDE w:val="0"/>
              <w:autoSpaceDN w:val="0"/>
              <w:adjustRightInd w:val="0"/>
              <w:rPr>
                <w:rFonts w:eastAsia="NEJMScalaSansLF-Regular"/>
              </w:rPr>
            </w:pPr>
            <w:r w:rsidRPr="006D6249">
              <w:rPr>
                <w:rFonts w:eastAsia="NEJMScalaSansLF-Regular"/>
                <w:sz w:val="22"/>
                <w:szCs w:val="22"/>
              </w:rPr>
              <w:t>3 = 5 or more stools more than normal</w:t>
            </w:r>
          </w:p>
          <w:p w:rsidR="009716A4" w:rsidRPr="006D6249" w:rsidRDefault="009716A4" w:rsidP="00AD156C">
            <w:pPr>
              <w:autoSpaceDE w:val="0"/>
              <w:autoSpaceDN w:val="0"/>
              <w:adjustRightInd w:val="0"/>
              <w:rPr>
                <w:rFonts w:eastAsia="NEJMScalaSansLF-Regular"/>
              </w:rPr>
            </w:pPr>
            <w:r w:rsidRPr="006D6249">
              <w:rPr>
                <w:rFonts w:eastAsia="NEJMScalaSansLF-Regular"/>
                <w:sz w:val="22"/>
                <w:szCs w:val="22"/>
              </w:rPr>
              <w:t>Subscore, 0 to 3=</w:t>
            </w:r>
          </w:p>
          <w:p w:rsidR="009716A4" w:rsidRPr="006D6249" w:rsidRDefault="009716A4" w:rsidP="00AD156C">
            <w:pPr>
              <w:autoSpaceDE w:val="0"/>
              <w:autoSpaceDN w:val="0"/>
              <w:adjustRightInd w:val="0"/>
              <w:rPr>
                <w:rFonts w:eastAsia="NEJMScalaSansLF-Regular"/>
                <w:b/>
                <w:bCs/>
              </w:rPr>
            </w:pPr>
            <w:r w:rsidRPr="006D6249">
              <w:rPr>
                <w:rFonts w:eastAsia="NEJMScalaSansLF-Regular"/>
                <w:b/>
                <w:bCs/>
                <w:sz w:val="22"/>
                <w:szCs w:val="22"/>
              </w:rPr>
              <w:t>Rectal bleeding‡</w:t>
            </w:r>
          </w:p>
          <w:p w:rsidR="009716A4" w:rsidRPr="006D6249" w:rsidRDefault="009716A4" w:rsidP="00AD156C">
            <w:pPr>
              <w:autoSpaceDE w:val="0"/>
              <w:autoSpaceDN w:val="0"/>
              <w:adjustRightInd w:val="0"/>
              <w:rPr>
                <w:rFonts w:eastAsia="NEJMScalaSansLF-Regular"/>
              </w:rPr>
            </w:pPr>
            <w:r w:rsidRPr="006D6249">
              <w:rPr>
                <w:rFonts w:eastAsia="NEJMScalaSansLF-Regular"/>
                <w:sz w:val="22"/>
                <w:szCs w:val="22"/>
              </w:rPr>
              <w:t>0 = No blood seen</w:t>
            </w:r>
          </w:p>
          <w:p w:rsidR="009716A4" w:rsidRPr="006D6249" w:rsidRDefault="009716A4" w:rsidP="00AD156C">
            <w:pPr>
              <w:autoSpaceDE w:val="0"/>
              <w:autoSpaceDN w:val="0"/>
              <w:adjustRightInd w:val="0"/>
              <w:rPr>
                <w:rFonts w:eastAsia="NEJMScalaSansLF-Regular"/>
              </w:rPr>
            </w:pPr>
            <w:r w:rsidRPr="006D6249">
              <w:rPr>
                <w:rFonts w:eastAsia="NEJMScalaSansLF-Regular"/>
                <w:sz w:val="22"/>
                <w:szCs w:val="22"/>
              </w:rPr>
              <w:t>1 = Streaks of blood with stool less than half the time</w:t>
            </w:r>
          </w:p>
          <w:p w:rsidR="009716A4" w:rsidRPr="006D6249" w:rsidRDefault="009716A4" w:rsidP="00AD156C">
            <w:pPr>
              <w:autoSpaceDE w:val="0"/>
              <w:autoSpaceDN w:val="0"/>
              <w:adjustRightInd w:val="0"/>
              <w:rPr>
                <w:rFonts w:eastAsia="NEJMScalaSansLF-Regular"/>
              </w:rPr>
            </w:pPr>
            <w:r w:rsidRPr="006D6249">
              <w:rPr>
                <w:rFonts w:eastAsia="NEJMScalaSansLF-Regular"/>
                <w:sz w:val="22"/>
                <w:szCs w:val="22"/>
              </w:rPr>
              <w:t>2 = Obvious blood with stool most of the time</w:t>
            </w:r>
          </w:p>
          <w:p w:rsidR="009716A4" w:rsidRPr="006D6249" w:rsidRDefault="009716A4" w:rsidP="00AD156C">
            <w:pPr>
              <w:autoSpaceDE w:val="0"/>
              <w:autoSpaceDN w:val="0"/>
              <w:adjustRightInd w:val="0"/>
              <w:rPr>
                <w:rFonts w:eastAsia="NEJMScalaSansLF-Regular"/>
              </w:rPr>
            </w:pPr>
            <w:r w:rsidRPr="006D6249">
              <w:rPr>
                <w:rFonts w:eastAsia="NEJMScalaSansLF-Regular"/>
                <w:sz w:val="22"/>
                <w:szCs w:val="22"/>
              </w:rPr>
              <w:t>3 = Blood alone passes</w:t>
            </w:r>
          </w:p>
          <w:p w:rsidR="009716A4" w:rsidRPr="006D6249" w:rsidRDefault="009716A4" w:rsidP="00AD156C">
            <w:pPr>
              <w:autoSpaceDE w:val="0"/>
              <w:autoSpaceDN w:val="0"/>
              <w:adjustRightInd w:val="0"/>
              <w:rPr>
                <w:rFonts w:eastAsia="NEJMScalaSansLF-Regular"/>
              </w:rPr>
            </w:pPr>
            <w:r w:rsidRPr="006D6249">
              <w:rPr>
                <w:rFonts w:eastAsia="NEJMScalaSansLF-Regular"/>
                <w:sz w:val="22"/>
                <w:szCs w:val="22"/>
              </w:rPr>
              <w:t>Subscore, 0 to 3=</w:t>
            </w:r>
          </w:p>
          <w:p w:rsidR="009716A4" w:rsidRPr="006D6249" w:rsidRDefault="009716A4" w:rsidP="00AD156C">
            <w:pPr>
              <w:autoSpaceDE w:val="0"/>
              <w:autoSpaceDN w:val="0"/>
              <w:adjustRightInd w:val="0"/>
              <w:rPr>
                <w:rFonts w:eastAsia="NEJMScalaSansLF-Regular"/>
                <w:b/>
                <w:bCs/>
              </w:rPr>
            </w:pPr>
            <w:r w:rsidRPr="006D6249">
              <w:rPr>
                <w:rFonts w:eastAsia="NEJMScalaSansLF-Regular"/>
                <w:b/>
                <w:bCs/>
                <w:sz w:val="22"/>
                <w:szCs w:val="22"/>
              </w:rPr>
              <w:t>Findings on endoscopy</w:t>
            </w:r>
          </w:p>
          <w:p w:rsidR="009716A4" w:rsidRPr="006D6249" w:rsidRDefault="009716A4" w:rsidP="00AD156C">
            <w:pPr>
              <w:autoSpaceDE w:val="0"/>
              <w:autoSpaceDN w:val="0"/>
              <w:adjustRightInd w:val="0"/>
              <w:rPr>
                <w:rFonts w:eastAsia="NEJMScalaSansLF-Regular"/>
              </w:rPr>
            </w:pPr>
            <w:r w:rsidRPr="006D6249">
              <w:rPr>
                <w:rFonts w:eastAsia="NEJMScalaSansLF-Regular"/>
                <w:sz w:val="22"/>
                <w:szCs w:val="22"/>
              </w:rPr>
              <w:t>0 = Normal or inactive disease</w:t>
            </w:r>
          </w:p>
          <w:p w:rsidR="009716A4" w:rsidRPr="006D6249" w:rsidRDefault="009716A4" w:rsidP="00AD156C">
            <w:pPr>
              <w:autoSpaceDE w:val="0"/>
              <w:autoSpaceDN w:val="0"/>
              <w:adjustRightInd w:val="0"/>
              <w:rPr>
                <w:rFonts w:eastAsia="NEJMScalaSansLF-Regular"/>
              </w:rPr>
            </w:pPr>
            <w:r w:rsidRPr="006D6249">
              <w:rPr>
                <w:rFonts w:eastAsia="NEJMScalaSansLF-Regular"/>
                <w:sz w:val="22"/>
                <w:szCs w:val="22"/>
              </w:rPr>
              <w:t>1 = Mild disease (erythema, decreased vascular pattern, mild friability)</w:t>
            </w:r>
          </w:p>
          <w:p w:rsidR="009716A4" w:rsidRPr="006D6249" w:rsidRDefault="009716A4" w:rsidP="00AD156C">
            <w:pPr>
              <w:autoSpaceDE w:val="0"/>
              <w:autoSpaceDN w:val="0"/>
              <w:adjustRightInd w:val="0"/>
              <w:rPr>
                <w:rFonts w:eastAsia="NEJMScalaSansLF-Regular"/>
              </w:rPr>
            </w:pPr>
            <w:r w:rsidRPr="006D6249">
              <w:rPr>
                <w:rFonts w:eastAsia="NEJMScalaSansLF-Regular"/>
                <w:sz w:val="22"/>
                <w:szCs w:val="22"/>
              </w:rPr>
              <w:t>2 = Moderate disease (marked erythema, lack of vascular pattern, friability,</w:t>
            </w:r>
          </w:p>
          <w:p w:rsidR="009716A4" w:rsidRPr="006D6249" w:rsidRDefault="009716A4" w:rsidP="00AD156C">
            <w:pPr>
              <w:autoSpaceDE w:val="0"/>
              <w:autoSpaceDN w:val="0"/>
              <w:adjustRightInd w:val="0"/>
              <w:rPr>
                <w:rFonts w:eastAsia="NEJMScalaSansLF-Regular"/>
              </w:rPr>
            </w:pPr>
            <w:r w:rsidRPr="006D6249">
              <w:rPr>
                <w:rFonts w:eastAsia="NEJMScalaSansLF-Regular"/>
                <w:sz w:val="22"/>
                <w:szCs w:val="22"/>
              </w:rPr>
              <w:t>erosions)</w:t>
            </w:r>
          </w:p>
          <w:p w:rsidR="009716A4" w:rsidRPr="006D6249" w:rsidRDefault="009716A4" w:rsidP="00AD156C">
            <w:pPr>
              <w:autoSpaceDE w:val="0"/>
              <w:autoSpaceDN w:val="0"/>
              <w:adjustRightInd w:val="0"/>
              <w:rPr>
                <w:rFonts w:eastAsia="NEJMScalaSansLF-Regular"/>
              </w:rPr>
            </w:pPr>
            <w:r w:rsidRPr="006D6249">
              <w:rPr>
                <w:rFonts w:eastAsia="NEJMScalaSansLF-Regular"/>
                <w:sz w:val="22"/>
                <w:szCs w:val="22"/>
              </w:rPr>
              <w:t>3 = Severe disease (spontaneous bleeding, ulceration)</w:t>
            </w:r>
          </w:p>
          <w:p w:rsidR="009716A4" w:rsidRPr="006D6249" w:rsidRDefault="009716A4" w:rsidP="00AD156C">
            <w:pPr>
              <w:autoSpaceDE w:val="0"/>
              <w:autoSpaceDN w:val="0"/>
              <w:adjustRightInd w:val="0"/>
              <w:rPr>
                <w:rFonts w:eastAsia="NEJMScalaSansLF-Regular"/>
              </w:rPr>
            </w:pPr>
            <w:r w:rsidRPr="006D6249">
              <w:rPr>
                <w:rFonts w:eastAsia="NEJMScalaSansLF-Regular"/>
                <w:sz w:val="22"/>
                <w:szCs w:val="22"/>
              </w:rPr>
              <w:t>Subscore, 0 to 3=</w:t>
            </w:r>
          </w:p>
          <w:p w:rsidR="009716A4" w:rsidRPr="006D6249" w:rsidRDefault="009716A4" w:rsidP="00AD156C">
            <w:pPr>
              <w:autoSpaceDE w:val="0"/>
              <w:autoSpaceDN w:val="0"/>
              <w:adjustRightInd w:val="0"/>
              <w:rPr>
                <w:rFonts w:eastAsia="NEJMScalaSansLF-Regular"/>
                <w:b/>
                <w:bCs/>
              </w:rPr>
            </w:pPr>
            <w:r w:rsidRPr="006D6249">
              <w:rPr>
                <w:rFonts w:eastAsia="NEJMScalaSansLF-Regular"/>
                <w:b/>
                <w:bCs/>
                <w:sz w:val="22"/>
                <w:szCs w:val="22"/>
              </w:rPr>
              <w:t>Physician’s global assessment</w:t>
            </w:r>
          </w:p>
          <w:p w:rsidR="009716A4" w:rsidRPr="006D6249" w:rsidRDefault="009716A4" w:rsidP="00AD156C">
            <w:pPr>
              <w:autoSpaceDE w:val="0"/>
              <w:autoSpaceDN w:val="0"/>
              <w:adjustRightInd w:val="0"/>
              <w:rPr>
                <w:rFonts w:eastAsia="NEJMScalaSansLF-Regular"/>
              </w:rPr>
            </w:pPr>
            <w:r w:rsidRPr="006D6249">
              <w:rPr>
                <w:rFonts w:eastAsia="NEJMScalaSansLF-Regular"/>
                <w:sz w:val="22"/>
                <w:szCs w:val="22"/>
              </w:rPr>
              <w:t>0 = Normal</w:t>
            </w:r>
          </w:p>
          <w:p w:rsidR="009716A4" w:rsidRPr="006D6249" w:rsidRDefault="009716A4" w:rsidP="00AD156C">
            <w:pPr>
              <w:autoSpaceDE w:val="0"/>
              <w:autoSpaceDN w:val="0"/>
              <w:adjustRightInd w:val="0"/>
              <w:rPr>
                <w:rFonts w:eastAsia="NEJMScalaSansLF-Regular"/>
              </w:rPr>
            </w:pPr>
            <w:r w:rsidRPr="006D6249">
              <w:rPr>
                <w:rFonts w:eastAsia="NEJMScalaSansLF-Regular"/>
                <w:sz w:val="22"/>
                <w:szCs w:val="22"/>
              </w:rPr>
              <w:t>1 = Mild disease</w:t>
            </w:r>
          </w:p>
          <w:p w:rsidR="009716A4" w:rsidRPr="006D6249" w:rsidRDefault="009716A4" w:rsidP="00AD156C">
            <w:pPr>
              <w:autoSpaceDE w:val="0"/>
              <w:autoSpaceDN w:val="0"/>
              <w:adjustRightInd w:val="0"/>
              <w:rPr>
                <w:rFonts w:eastAsia="NEJMScalaSansLF-Regular"/>
              </w:rPr>
            </w:pPr>
            <w:r w:rsidRPr="006D6249">
              <w:rPr>
                <w:rFonts w:eastAsia="NEJMScalaSansLF-Regular"/>
                <w:sz w:val="22"/>
                <w:szCs w:val="22"/>
              </w:rPr>
              <w:t>2 = Moderate disease</w:t>
            </w:r>
          </w:p>
          <w:p w:rsidR="009716A4" w:rsidRPr="006D6249" w:rsidRDefault="009716A4" w:rsidP="00AD156C">
            <w:pPr>
              <w:autoSpaceDE w:val="0"/>
              <w:autoSpaceDN w:val="0"/>
              <w:adjustRightInd w:val="0"/>
              <w:rPr>
                <w:rFonts w:eastAsia="NEJMScalaSansLF-Regular"/>
              </w:rPr>
            </w:pPr>
            <w:r w:rsidRPr="006D6249">
              <w:rPr>
                <w:rFonts w:eastAsia="NEJMScalaSansLF-Regular"/>
                <w:sz w:val="22"/>
                <w:szCs w:val="22"/>
              </w:rPr>
              <w:t>3 = Severe disease</w:t>
            </w:r>
          </w:p>
          <w:p w:rsidR="009716A4" w:rsidRPr="006D6249" w:rsidRDefault="009716A4" w:rsidP="00AD156C">
            <w:pPr>
              <w:rPr>
                <w:rFonts w:cs="Times New Roman"/>
                <w:b/>
                <w:bCs/>
              </w:rPr>
            </w:pPr>
            <w:r w:rsidRPr="006D6249">
              <w:rPr>
                <w:rFonts w:eastAsia="NEJMScalaSansLF-Regular"/>
                <w:sz w:val="22"/>
                <w:szCs w:val="22"/>
              </w:rPr>
              <w:t>Subscore, 0 to 3=</w:t>
            </w:r>
          </w:p>
          <w:p w:rsidR="009716A4" w:rsidRPr="006D6249" w:rsidRDefault="009716A4" w:rsidP="00AD156C">
            <w:pPr>
              <w:rPr>
                <w:rFonts w:cs="Times New Roman"/>
                <w:b/>
                <w:bCs/>
              </w:rPr>
            </w:pPr>
          </w:p>
          <w:p w:rsidR="009716A4" w:rsidRPr="006D6249" w:rsidRDefault="009716A4" w:rsidP="00AD156C">
            <w:pPr>
              <w:rPr>
                <w:rFonts w:cs="Times New Roman"/>
                <w:b/>
                <w:bCs/>
              </w:rPr>
            </w:pPr>
          </w:p>
          <w:p w:rsidR="009716A4" w:rsidRPr="006D6249" w:rsidRDefault="009716A4" w:rsidP="00AD156C">
            <w:pPr>
              <w:autoSpaceDE w:val="0"/>
              <w:autoSpaceDN w:val="0"/>
              <w:adjustRightInd w:val="0"/>
              <w:rPr>
                <w:rFonts w:eastAsia="NEJMScalaSansLF-Regular"/>
              </w:rPr>
            </w:pPr>
            <w:r w:rsidRPr="006D6249">
              <w:rPr>
                <w:rFonts w:eastAsia="NEJMScalaSansLF-Regular"/>
                <w:sz w:val="22"/>
                <w:szCs w:val="22"/>
              </w:rPr>
              <w:t>The Mayo score ranges from 0 to 12, with higher scores indicating more severe</w:t>
            </w:r>
          </w:p>
          <w:p w:rsidR="009716A4" w:rsidRPr="006D6249" w:rsidRDefault="009716A4" w:rsidP="00AD156C">
            <w:pPr>
              <w:rPr>
                <w:rFonts w:eastAsia="NEJMScalaSansLF-Regular"/>
              </w:rPr>
            </w:pPr>
            <w:r w:rsidRPr="006D6249">
              <w:rPr>
                <w:rFonts w:eastAsia="NEJMScalaSansLF-Regular"/>
                <w:sz w:val="22"/>
                <w:szCs w:val="22"/>
              </w:rPr>
              <w:t xml:space="preserve">disease.  </w:t>
            </w:r>
          </w:p>
          <w:p w:rsidR="009716A4" w:rsidRPr="006D6249" w:rsidRDefault="009716A4" w:rsidP="00AD156C">
            <w:pPr>
              <w:rPr>
                <w:rFonts w:cs="Times New Roman"/>
                <w:b/>
                <w:bCs/>
              </w:rPr>
            </w:pPr>
          </w:p>
          <w:p w:rsidR="009716A4" w:rsidRPr="006D6249" w:rsidRDefault="009716A4" w:rsidP="00AD156C">
            <w:pPr>
              <w:rPr>
                <w:rFonts w:cs="Times New Roman"/>
                <w:b/>
                <w:bCs/>
              </w:rPr>
            </w:pPr>
          </w:p>
          <w:p w:rsidR="009716A4" w:rsidRPr="006D6249" w:rsidRDefault="009716A4" w:rsidP="00AD156C">
            <w:pPr>
              <w:rPr>
                <w:rFonts w:cs="Times New Roman"/>
                <w:b/>
                <w:bCs/>
              </w:rPr>
            </w:pPr>
          </w:p>
          <w:p w:rsidR="009716A4" w:rsidRPr="006D6249" w:rsidRDefault="009716A4" w:rsidP="00AD156C">
            <w:pPr>
              <w:rPr>
                <w:rFonts w:cs="Times New Roman"/>
                <w:b/>
                <w:bCs/>
              </w:rPr>
            </w:pPr>
          </w:p>
          <w:p w:rsidR="009716A4" w:rsidRPr="006D6249" w:rsidRDefault="009716A4" w:rsidP="00AD156C">
            <w:pPr>
              <w:rPr>
                <w:rFonts w:cs="Times New Roman"/>
                <w:b/>
                <w:bCs/>
              </w:rPr>
            </w:pPr>
          </w:p>
          <w:p w:rsidR="009716A4" w:rsidRPr="006D6249" w:rsidRDefault="009716A4" w:rsidP="00AD156C">
            <w:pPr>
              <w:rPr>
                <w:rFonts w:cs="Times New Roman"/>
                <w:b/>
                <w:bCs/>
              </w:rPr>
            </w:pPr>
          </w:p>
          <w:p w:rsidR="009716A4" w:rsidRPr="006D6249" w:rsidRDefault="009716A4" w:rsidP="00AD156C">
            <w:pPr>
              <w:rPr>
                <w:rFonts w:cs="Times New Roman"/>
                <w:b/>
                <w:bCs/>
              </w:rPr>
            </w:pPr>
          </w:p>
          <w:p w:rsidR="009716A4" w:rsidRPr="006D6249" w:rsidRDefault="009716A4" w:rsidP="00AD156C">
            <w:pPr>
              <w:rPr>
                <w:rFonts w:cs="Times New Roman"/>
                <w:b/>
                <w:bCs/>
              </w:rPr>
            </w:pPr>
          </w:p>
          <w:p w:rsidR="009716A4" w:rsidRPr="006D6249" w:rsidRDefault="009716A4" w:rsidP="00AD156C">
            <w:pPr>
              <w:rPr>
                <w:rFonts w:cs="Times New Roman"/>
                <w:b/>
                <w:bCs/>
              </w:rPr>
            </w:pPr>
          </w:p>
          <w:p w:rsidR="009716A4" w:rsidRPr="006D6249" w:rsidRDefault="009716A4" w:rsidP="00AD156C">
            <w:pPr>
              <w:rPr>
                <w:rFonts w:cs="Times New Roman"/>
                <w:b/>
                <w:bCs/>
              </w:rPr>
            </w:pPr>
          </w:p>
          <w:p w:rsidR="009716A4" w:rsidRPr="006D6249" w:rsidRDefault="009716A4" w:rsidP="00AD156C">
            <w:pPr>
              <w:rPr>
                <w:rFonts w:cs="Times New Roman"/>
                <w:b/>
                <w:bCs/>
              </w:rPr>
            </w:pPr>
          </w:p>
          <w:p w:rsidR="009716A4" w:rsidRPr="006D6249" w:rsidRDefault="009716A4" w:rsidP="00AD156C">
            <w:pPr>
              <w:rPr>
                <w:rFonts w:cs="Times New Roman"/>
                <w:b/>
                <w:bCs/>
              </w:rPr>
            </w:pPr>
          </w:p>
          <w:p w:rsidR="009716A4" w:rsidRPr="006D6249" w:rsidRDefault="009716A4" w:rsidP="00AD156C">
            <w:pPr>
              <w:rPr>
                <w:rFonts w:cs="Times New Roman"/>
                <w:b/>
                <w:bCs/>
              </w:rPr>
            </w:pPr>
          </w:p>
          <w:p w:rsidR="009716A4" w:rsidRPr="006D6249" w:rsidRDefault="009716A4" w:rsidP="00AD156C">
            <w:pPr>
              <w:rPr>
                <w:rFonts w:cs="Times New Roman"/>
                <w:b/>
                <w:bCs/>
              </w:rPr>
            </w:pPr>
          </w:p>
          <w:p w:rsidR="009716A4" w:rsidRPr="006D6249" w:rsidRDefault="009716A4" w:rsidP="00AD156C">
            <w:pPr>
              <w:rPr>
                <w:rFonts w:cs="Times New Roman"/>
                <w:b/>
                <w:bCs/>
              </w:rPr>
            </w:pPr>
          </w:p>
          <w:p w:rsidR="009716A4" w:rsidRDefault="009716A4" w:rsidP="00AD156C">
            <w:pPr>
              <w:rPr>
                <w:b/>
                <w:bCs/>
                <w:u w:val="single"/>
              </w:rPr>
            </w:pPr>
          </w:p>
          <w:p w:rsidR="009716A4" w:rsidRPr="006D6249" w:rsidRDefault="009716A4" w:rsidP="00AD156C">
            <w:pPr>
              <w:rPr>
                <w:b/>
                <w:bCs/>
                <w:u w:val="single"/>
              </w:rPr>
            </w:pPr>
            <w:r w:rsidRPr="006D6249">
              <w:rPr>
                <w:b/>
                <w:bCs/>
                <w:sz w:val="22"/>
                <w:szCs w:val="22"/>
                <w:u w:val="single"/>
              </w:rPr>
              <w:t>Questionnaire 3:</w:t>
            </w:r>
          </w:p>
          <w:p w:rsidR="009716A4" w:rsidRPr="006D6249" w:rsidRDefault="009716A4" w:rsidP="00AD156C">
            <w:pPr>
              <w:rPr>
                <w:b/>
                <w:bCs/>
                <w:u w:val="single"/>
              </w:rPr>
            </w:pPr>
            <w:r w:rsidRPr="006D6249">
              <w:rPr>
                <w:b/>
                <w:bCs/>
                <w:sz w:val="22"/>
                <w:szCs w:val="22"/>
                <w:u w:val="single"/>
              </w:rPr>
              <w:t xml:space="preserve">Crohns Disease activity Index (CDAI) for patients with Crohns:  </w:t>
            </w:r>
            <w:r w:rsidR="00DE55F5">
              <w:rPr>
                <w:sz w:val="22"/>
                <w:szCs w:val="22"/>
              </w:rPr>
              <w:t>(23</w:t>
            </w:r>
            <w:r w:rsidRPr="006D6249">
              <w:rPr>
                <w:sz w:val="22"/>
                <w:szCs w:val="22"/>
              </w:rPr>
              <w:t>)</w:t>
            </w:r>
            <w:r w:rsidRPr="006D6249">
              <w:rPr>
                <w:b/>
                <w:bCs/>
                <w:sz w:val="22"/>
                <w:szCs w:val="22"/>
                <w:u w:val="single"/>
              </w:rPr>
              <w:t xml:space="preserve">               </w:t>
            </w:r>
          </w:p>
          <w:p w:rsidR="009716A4" w:rsidRPr="006D6249" w:rsidRDefault="009716A4" w:rsidP="00AD156C">
            <w:pPr>
              <w:rPr>
                <w:rFonts w:cs="Times New Roman"/>
                <w:b/>
                <w:bCs/>
              </w:rPr>
            </w:pPr>
            <w:r w:rsidRPr="006D6249">
              <w:rPr>
                <w:rFonts w:ascii="Verdana" w:hAnsi="Verdana" w:cs="Verdana"/>
                <w:sz w:val="13"/>
                <w:szCs w:val="13"/>
              </w:rPr>
              <w:t>Link to online calculator is: &lt;a href="http://www.ibdjohn.com/cdai/"&gt; Crohn's Disease Activity Index, CDAI &lt;/a&gt;</w:t>
            </w:r>
          </w:p>
          <w:p w:rsidR="009716A4" w:rsidRPr="006D6249" w:rsidRDefault="009716A4" w:rsidP="00AD156C">
            <w:pPr>
              <w:rPr>
                <w:rFonts w:cs="Times New Roman"/>
                <w:b/>
                <w:bCs/>
                <w:u w:val="single"/>
              </w:rPr>
            </w:pPr>
          </w:p>
          <w:p w:rsidR="009716A4" w:rsidRPr="006D6249" w:rsidRDefault="009716A4" w:rsidP="00AD156C">
            <w:pPr>
              <w:rPr>
                <w:rFonts w:cs="Times New Roman"/>
                <w:b/>
                <w:bCs/>
                <w:u w:val="single"/>
              </w:rPr>
            </w:pPr>
            <w:r w:rsidRPr="006D6249">
              <w:rPr>
                <w:b/>
                <w:bCs/>
                <w:sz w:val="22"/>
                <w:szCs w:val="22"/>
                <w:u w:val="single"/>
              </w:rPr>
              <w:t xml:space="preserve">Clinical or laboratory variable              </w:t>
            </w:r>
            <w:r w:rsidRPr="006D6249">
              <w:rPr>
                <w:b/>
                <w:bCs/>
                <w:sz w:val="22"/>
                <w:szCs w:val="22"/>
              </w:rPr>
              <w:t xml:space="preserve">                                                                          </w:t>
            </w:r>
          </w:p>
        </w:tc>
        <w:tc>
          <w:tcPr>
            <w:tcW w:w="0" w:type="auto"/>
            <w:vAlign w:val="center"/>
          </w:tcPr>
          <w:p w:rsidR="009716A4" w:rsidRPr="006D6249" w:rsidRDefault="009716A4" w:rsidP="00AD156C">
            <w:pPr>
              <w:rPr>
                <w:rFonts w:cs="Times New Roman"/>
                <w:b/>
                <w:bCs/>
              </w:rPr>
            </w:pPr>
          </w:p>
        </w:tc>
      </w:tr>
    </w:tbl>
    <w:p w:rsidR="009716A4" w:rsidRPr="00CD1E16" w:rsidRDefault="009716A4" w:rsidP="009716A4">
      <w:pPr>
        <w:rPr>
          <w:rFonts w:cs="Times New Roman"/>
          <w:sz w:val="22"/>
          <w:szCs w:val="22"/>
        </w:rPr>
      </w:pPr>
      <w:r>
        <w:rPr>
          <w:noProof/>
        </w:rPr>
        <w:drawing>
          <wp:anchor distT="0" distB="0" distL="114300" distR="114300" simplePos="0" relativeHeight="251660288" behindDoc="0" locked="1" layoutInCell="1" allowOverlap="1">
            <wp:simplePos x="0" y="0"/>
            <wp:positionH relativeFrom="column">
              <wp:posOffset>-789305</wp:posOffset>
            </wp:positionH>
            <wp:positionV relativeFrom="paragraph">
              <wp:posOffset>128905</wp:posOffset>
            </wp:positionV>
            <wp:extent cx="7906385" cy="586867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l="513"/>
                    <a:stretch>
                      <a:fillRect/>
                    </a:stretch>
                  </pic:blipFill>
                  <pic:spPr bwMode="auto">
                    <a:xfrm>
                      <a:off x="0" y="0"/>
                      <a:ext cx="7906385" cy="5868670"/>
                    </a:xfrm>
                    <a:prstGeom prst="rect">
                      <a:avLst/>
                    </a:prstGeom>
                    <a:noFill/>
                  </pic:spPr>
                </pic:pic>
              </a:graphicData>
            </a:graphic>
          </wp:anchor>
        </w:drawing>
      </w:r>
    </w:p>
    <w:p w:rsidR="009716A4" w:rsidRPr="00CD1E16" w:rsidRDefault="009716A4" w:rsidP="009716A4">
      <w:pPr>
        <w:rPr>
          <w:rFonts w:cs="Times New Roman"/>
          <w:noProof/>
          <w:sz w:val="22"/>
          <w:szCs w:val="22"/>
        </w:rPr>
      </w:pPr>
    </w:p>
    <w:p w:rsidR="009716A4" w:rsidRPr="00CD1E16" w:rsidRDefault="009716A4" w:rsidP="009716A4">
      <w:pPr>
        <w:rPr>
          <w:rFonts w:cs="Times New Roman"/>
          <w:noProof/>
          <w:sz w:val="22"/>
          <w:szCs w:val="22"/>
        </w:rPr>
      </w:pPr>
    </w:p>
    <w:p w:rsidR="009716A4" w:rsidRPr="00CD1E16" w:rsidRDefault="009716A4" w:rsidP="009716A4">
      <w:pPr>
        <w:rPr>
          <w:rFonts w:cs="Times New Roman"/>
          <w:sz w:val="22"/>
          <w:szCs w:val="22"/>
        </w:rPr>
      </w:pPr>
    </w:p>
    <w:p w:rsidR="009716A4" w:rsidRPr="00CD1E16" w:rsidRDefault="009716A4" w:rsidP="009716A4">
      <w:pPr>
        <w:pStyle w:val="ListParagraph"/>
        <w:ind w:left="0"/>
        <w:rPr>
          <w:rFonts w:cs="Times New Roman"/>
          <w:b/>
          <w:bCs/>
          <w:sz w:val="22"/>
          <w:szCs w:val="22"/>
        </w:rPr>
      </w:pPr>
      <w:r w:rsidRPr="00CD1E16">
        <w:rPr>
          <w:b/>
          <w:bCs/>
          <w:sz w:val="22"/>
          <w:szCs w:val="22"/>
        </w:rPr>
        <w:t>REFERANCES</w:t>
      </w:r>
      <w:r w:rsidRPr="00CD1E16">
        <w:rPr>
          <w:sz w:val="22"/>
          <w:szCs w:val="22"/>
        </w:rPr>
        <w:t>:</w:t>
      </w:r>
    </w:p>
    <w:p w:rsidR="009716A4" w:rsidRPr="00CD1E16" w:rsidRDefault="009716A4" w:rsidP="009716A4">
      <w:pPr>
        <w:rPr>
          <w:rFonts w:cs="Times New Roman"/>
          <w:sz w:val="22"/>
          <w:szCs w:val="22"/>
        </w:rPr>
      </w:pPr>
    </w:p>
    <w:p w:rsidR="009716A4" w:rsidRPr="006615DC" w:rsidRDefault="009716A4" w:rsidP="009716A4">
      <w:pPr>
        <w:pStyle w:val="ListParagraph"/>
        <w:numPr>
          <w:ilvl w:val="0"/>
          <w:numId w:val="7"/>
        </w:numPr>
        <w:rPr>
          <w:sz w:val="18"/>
          <w:szCs w:val="18"/>
        </w:rPr>
      </w:pPr>
      <w:r w:rsidRPr="006615DC">
        <w:rPr>
          <w:sz w:val="18"/>
          <w:szCs w:val="18"/>
        </w:rPr>
        <w:t>(Gibson, 2004)</w:t>
      </w:r>
    </w:p>
    <w:p w:rsidR="009716A4" w:rsidRPr="006615DC" w:rsidRDefault="009716A4" w:rsidP="009716A4">
      <w:pPr>
        <w:pStyle w:val="ListParagraph"/>
        <w:numPr>
          <w:ilvl w:val="0"/>
          <w:numId w:val="7"/>
        </w:numPr>
        <w:rPr>
          <w:rFonts w:cs="Times New Roman"/>
          <w:sz w:val="18"/>
          <w:szCs w:val="18"/>
        </w:rPr>
      </w:pPr>
      <w:r w:rsidRPr="006615DC">
        <w:rPr>
          <w:rStyle w:val="normalchar1"/>
          <w:sz w:val="18"/>
          <w:szCs w:val="18"/>
        </w:rPr>
        <w:t>Ulitsky, A., Ananthakrishnan A.N., Naik A., Skaros S., Zadvornova Y., Binion D.G., Issa M.,(2011)Vitamin D deficiency in patients with inflammatory bowel disease: Association with disease Activity and quality of life. Journal of parenteral and Enteral nutrition 35:308_316</w:t>
      </w:r>
    </w:p>
    <w:p w:rsidR="009716A4" w:rsidRPr="006615DC" w:rsidRDefault="009716A4" w:rsidP="009716A4">
      <w:pPr>
        <w:pStyle w:val="ListParagraph"/>
        <w:numPr>
          <w:ilvl w:val="0"/>
          <w:numId w:val="7"/>
        </w:numPr>
        <w:rPr>
          <w:sz w:val="18"/>
          <w:szCs w:val="18"/>
        </w:rPr>
      </w:pPr>
      <w:r w:rsidRPr="006615DC">
        <w:rPr>
          <w:sz w:val="18"/>
          <w:szCs w:val="18"/>
        </w:rPr>
        <w:t>Kong et al 2008</w:t>
      </w:r>
    </w:p>
    <w:p w:rsidR="009716A4" w:rsidRPr="006615DC" w:rsidRDefault="009716A4" w:rsidP="009716A4">
      <w:pPr>
        <w:pStyle w:val="normal0"/>
        <w:numPr>
          <w:ilvl w:val="0"/>
          <w:numId w:val="7"/>
        </w:numPr>
        <w:spacing w:after="0" w:line="240" w:lineRule="atLeast"/>
        <w:rPr>
          <w:rFonts w:ascii="Cambria" w:hAnsi="Cambria" w:cs="Cambria"/>
          <w:sz w:val="18"/>
          <w:szCs w:val="18"/>
        </w:rPr>
      </w:pPr>
      <w:r w:rsidRPr="00945023">
        <w:rPr>
          <w:rStyle w:val="normalchar1"/>
          <w:rFonts w:ascii="Cambria" w:eastAsia="MS ????" w:hAnsi="Cambria" w:cs="Cambria"/>
          <w:sz w:val="18"/>
          <w:szCs w:val="18"/>
          <w:lang w:val="nb-NO"/>
        </w:rPr>
        <w:t xml:space="preserve">Ross AC, Manson JE, Abrams SA </w:t>
      </w:r>
      <w:r w:rsidRPr="00945023">
        <w:rPr>
          <w:rStyle w:val="normalchar1"/>
          <w:rFonts w:ascii="Cambria" w:eastAsia="MS ????" w:hAnsi="Cambria" w:cs="Cambria"/>
          <w:i/>
          <w:iCs/>
          <w:sz w:val="18"/>
          <w:szCs w:val="18"/>
          <w:lang w:val="nb-NO"/>
        </w:rPr>
        <w:t>et al</w:t>
      </w:r>
      <w:r w:rsidRPr="00945023">
        <w:rPr>
          <w:rStyle w:val="normalchar1"/>
          <w:rFonts w:ascii="Cambria" w:eastAsia="MS ????" w:hAnsi="Cambria" w:cs="Cambria"/>
          <w:sz w:val="18"/>
          <w:szCs w:val="18"/>
          <w:lang w:val="nb-NO"/>
        </w:rPr>
        <w:t xml:space="preserve">. </w:t>
      </w:r>
      <w:r w:rsidRPr="006615DC">
        <w:rPr>
          <w:rStyle w:val="normalchar1"/>
          <w:rFonts w:ascii="Cambria" w:eastAsia="MS ????" w:hAnsi="Cambria" w:cs="Cambria"/>
          <w:sz w:val="18"/>
          <w:szCs w:val="18"/>
        </w:rPr>
        <w:t xml:space="preserve">The 2011 Report on dietary reference intakes for calcium and vitamin D from the Institute of Medicine: what clinicians need to know. </w:t>
      </w:r>
      <w:r w:rsidRPr="006615DC">
        <w:rPr>
          <w:rStyle w:val="normalchar1"/>
          <w:rFonts w:ascii="Cambria" w:eastAsia="MS ????" w:hAnsi="Cambria" w:cs="Cambria"/>
          <w:i/>
          <w:iCs/>
          <w:sz w:val="18"/>
          <w:szCs w:val="18"/>
        </w:rPr>
        <w:t xml:space="preserve">J Clin Endocrinol Metab </w:t>
      </w:r>
      <w:r w:rsidRPr="006615DC">
        <w:rPr>
          <w:rStyle w:val="normalchar1"/>
          <w:rFonts w:ascii="Cambria" w:eastAsia="MS ????" w:hAnsi="Cambria" w:cs="Cambria"/>
          <w:sz w:val="18"/>
          <w:szCs w:val="18"/>
        </w:rPr>
        <w:t xml:space="preserve">2011; </w:t>
      </w:r>
      <w:r w:rsidRPr="006615DC">
        <w:rPr>
          <w:rStyle w:val="normalchar1"/>
          <w:rFonts w:ascii="Cambria" w:eastAsia="MS ????" w:hAnsi="Cambria" w:cs="Cambria"/>
          <w:b/>
          <w:bCs/>
          <w:sz w:val="18"/>
          <w:szCs w:val="18"/>
        </w:rPr>
        <w:t>96</w:t>
      </w:r>
      <w:r w:rsidRPr="006615DC">
        <w:rPr>
          <w:rStyle w:val="normalchar1"/>
          <w:rFonts w:ascii="Cambria" w:eastAsia="MS ????" w:hAnsi="Cambria" w:cs="Cambria"/>
          <w:sz w:val="18"/>
          <w:szCs w:val="18"/>
        </w:rPr>
        <w:t>: 53–58.</w:t>
      </w:r>
    </w:p>
    <w:p w:rsidR="009716A4" w:rsidRPr="006615DC" w:rsidRDefault="009716A4" w:rsidP="009716A4">
      <w:pPr>
        <w:pStyle w:val="normal0"/>
        <w:numPr>
          <w:ilvl w:val="0"/>
          <w:numId w:val="7"/>
        </w:numPr>
        <w:spacing w:after="0" w:line="240" w:lineRule="atLeast"/>
        <w:rPr>
          <w:rFonts w:ascii="Cambria" w:hAnsi="Cambria" w:cs="Cambria"/>
          <w:sz w:val="18"/>
          <w:szCs w:val="18"/>
        </w:rPr>
      </w:pPr>
      <w:r w:rsidRPr="006615DC">
        <w:rPr>
          <w:rStyle w:val="normalchar1"/>
          <w:rFonts w:ascii="Cambria" w:eastAsia="MS ????" w:hAnsi="Cambria" w:cs="Cambria"/>
          <w:sz w:val="18"/>
          <w:szCs w:val="18"/>
        </w:rPr>
        <w:t>Andjelkovic, Z., Vojinovic, J., Pejnovic, N., Popovic, M., Dujic, A., Mitrovic, D. et al. (1999) Disease modifying and immune modulatory effects of high dose 1 alpha (OH) D3 in rheumatoid arthritis patients. Clin Exp Rheumatol 17: 453_456.</w:t>
      </w:r>
    </w:p>
    <w:p w:rsidR="009716A4" w:rsidRPr="006615DC" w:rsidRDefault="009716A4" w:rsidP="009716A4">
      <w:pPr>
        <w:pStyle w:val="normal0"/>
        <w:numPr>
          <w:ilvl w:val="0"/>
          <w:numId w:val="7"/>
        </w:numPr>
        <w:spacing w:after="0" w:line="240" w:lineRule="atLeast"/>
        <w:rPr>
          <w:rFonts w:ascii="Cambria" w:hAnsi="Cambria" w:cs="Cambria"/>
          <w:sz w:val="18"/>
          <w:szCs w:val="18"/>
        </w:rPr>
      </w:pPr>
      <w:r w:rsidRPr="006615DC">
        <w:rPr>
          <w:rStyle w:val="normalchar1"/>
          <w:rFonts w:ascii="Cambria" w:eastAsia="MS ????" w:hAnsi="Cambria" w:cs="Cambria"/>
          <w:sz w:val="18"/>
          <w:szCs w:val="18"/>
        </w:rPr>
        <w:t xml:space="preserve">Nordvik, I., Myhr, K.M., Nyland, H. and Bjerve, K.S. (2000) Effect of dietary advice and n-3 supplementation in newly diagnosed MS patients. </w:t>
      </w:r>
      <w:r w:rsidRPr="006615DC">
        <w:rPr>
          <w:rStyle w:val="normalchar1"/>
          <w:rFonts w:ascii="Cambria" w:eastAsia="MS ????" w:hAnsi="Cambria" w:cs="Cambria"/>
          <w:i/>
          <w:iCs/>
          <w:sz w:val="18"/>
          <w:szCs w:val="18"/>
        </w:rPr>
        <w:t>Acta Neurol Scand</w:t>
      </w:r>
      <w:r w:rsidRPr="006615DC">
        <w:rPr>
          <w:rStyle w:val="normalchar1"/>
          <w:rFonts w:ascii="Cambria" w:eastAsia="MS ????" w:hAnsi="Cambria" w:cs="Cambria"/>
          <w:sz w:val="18"/>
          <w:szCs w:val="18"/>
        </w:rPr>
        <w:t xml:space="preserve"> 102: 143_149.</w:t>
      </w:r>
    </w:p>
    <w:p w:rsidR="009716A4" w:rsidRPr="006615DC" w:rsidRDefault="009716A4" w:rsidP="009716A4">
      <w:pPr>
        <w:pStyle w:val="normal0"/>
        <w:numPr>
          <w:ilvl w:val="0"/>
          <w:numId w:val="7"/>
        </w:numPr>
        <w:spacing w:after="0" w:line="240" w:lineRule="atLeast"/>
        <w:rPr>
          <w:rStyle w:val="normalchar1"/>
        </w:rPr>
      </w:pPr>
      <w:r w:rsidRPr="006615DC">
        <w:rPr>
          <w:rStyle w:val="normalchar1"/>
          <w:rFonts w:ascii="Cambria" w:eastAsia="MS ????" w:hAnsi="Cambria" w:cs="Cambria"/>
          <w:sz w:val="18"/>
          <w:szCs w:val="18"/>
        </w:rPr>
        <w:t>Goldberg, P., Fleming, M.C. and Picard, E.H. (1986) Multiple sclerosis: Decreased relapse rate through dietary supplementation with calcium, magnesium and vitamin D. Med Hypotheses 21: 193_200.</w:t>
      </w:r>
    </w:p>
    <w:p w:rsidR="009716A4" w:rsidRPr="006615DC" w:rsidRDefault="009716A4" w:rsidP="009716A4">
      <w:pPr>
        <w:pStyle w:val="normal0"/>
        <w:numPr>
          <w:ilvl w:val="0"/>
          <w:numId w:val="7"/>
        </w:numPr>
        <w:spacing w:after="0" w:line="240" w:lineRule="atLeast"/>
        <w:rPr>
          <w:rStyle w:val="normalchar1"/>
        </w:rPr>
      </w:pPr>
      <w:r w:rsidRPr="006615DC">
        <w:rPr>
          <w:rStyle w:val="normalchar1"/>
          <w:rFonts w:ascii="Cambria" w:eastAsia="Arial Unicode MS" w:hAnsi="Cambria" w:cs="Cambria"/>
          <w:sz w:val="18"/>
          <w:szCs w:val="18"/>
        </w:rPr>
        <w:t xml:space="preserve">Joseph AK, et al. 25(OH) vitamin D level in Crohn’s disease: association with sun exposure and disease activity 2009.    </w:t>
      </w:r>
      <w:r w:rsidRPr="006615DC">
        <w:rPr>
          <w:rStyle w:val="normalchar1"/>
          <w:rFonts w:ascii="Cambria" w:eastAsia="Arial Unicode MS" w:hAnsi="Cambria" w:cs="Cambria"/>
          <w:i/>
          <w:iCs/>
          <w:sz w:val="18"/>
          <w:szCs w:val="18"/>
        </w:rPr>
        <w:t xml:space="preserve">Indian J Med Research </w:t>
      </w:r>
      <w:r w:rsidRPr="006615DC">
        <w:rPr>
          <w:rStyle w:val="normalchar1"/>
          <w:rFonts w:ascii="Cambria" w:eastAsia="Arial Unicode MS" w:hAnsi="Cambria" w:cs="Cambria"/>
          <w:sz w:val="18"/>
          <w:szCs w:val="18"/>
        </w:rPr>
        <w:t>130: 133-137</w:t>
      </w:r>
    </w:p>
    <w:p w:rsidR="009716A4" w:rsidRPr="006615DC" w:rsidRDefault="009716A4" w:rsidP="009716A4">
      <w:pPr>
        <w:pStyle w:val="normal0"/>
        <w:numPr>
          <w:ilvl w:val="0"/>
          <w:numId w:val="7"/>
        </w:numPr>
        <w:spacing w:after="0" w:line="240" w:lineRule="atLeast"/>
        <w:rPr>
          <w:rFonts w:ascii="Cambria" w:eastAsia="Arial Unicode MS" w:hAnsi="Cambria" w:cs="Times New Roman"/>
          <w:sz w:val="18"/>
          <w:szCs w:val="18"/>
        </w:rPr>
      </w:pPr>
      <w:r w:rsidRPr="006615DC">
        <w:rPr>
          <w:rFonts w:ascii="Cambria" w:hAnsi="Cambria" w:cs="Cambria"/>
          <w:sz w:val="18"/>
          <w:szCs w:val="18"/>
        </w:rPr>
        <w:t>Miheller et al 2009</w:t>
      </w:r>
    </w:p>
    <w:p w:rsidR="009716A4" w:rsidRPr="006615DC" w:rsidRDefault="009716A4" w:rsidP="009716A4">
      <w:pPr>
        <w:pStyle w:val="normal0"/>
        <w:numPr>
          <w:ilvl w:val="0"/>
          <w:numId w:val="7"/>
        </w:numPr>
        <w:spacing w:after="0" w:line="240" w:lineRule="atLeast"/>
        <w:rPr>
          <w:rFonts w:ascii="Cambria" w:eastAsia="Arial Unicode MS" w:hAnsi="Cambria" w:cs="Times New Roman"/>
          <w:sz w:val="18"/>
          <w:szCs w:val="18"/>
        </w:rPr>
      </w:pPr>
      <w:r w:rsidRPr="006615DC">
        <w:rPr>
          <w:rFonts w:ascii="Cambria" w:hAnsi="Cambria" w:cs="Cambria"/>
          <w:sz w:val="18"/>
          <w:szCs w:val="18"/>
        </w:rPr>
        <w:t>Jorgenson et al 2010</w:t>
      </w:r>
    </w:p>
    <w:p w:rsidR="009716A4" w:rsidRPr="006615DC" w:rsidRDefault="009716A4" w:rsidP="009716A4">
      <w:pPr>
        <w:pStyle w:val="normal0"/>
        <w:numPr>
          <w:ilvl w:val="0"/>
          <w:numId w:val="7"/>
        </w:numPr>
        <w:spacing w:after="0" w:line="240" w:lineRule="atLeast"/>
        <w:rPr>
          <w:rFonts w:ascii="Cambria" w:hAnsi="Cambria" w:cs="Cambria"/>
          <w:sz w:val="18"/>
          <w:szCs w:val="18"/>
        </w:rPr>
      </w:pPr>
      <w:r w:rsidRPr="00945023">
        <w:rPr>
          <w:rStyle w:val="normalchar1"/>
          <w:rFonts w:ascii="Cambria" w:eastAsia="MS ????" w:hAnsi="Cambria" w:cs="Cambria"/>
          <w:sz w:val="18"/>
          <w:szCs w:val="18"/>
          <w:lang w:val="nb-NO"/>
        </w:rPr>
        <w:t xml:space="preserve">Ross AC, Manson JE, Abrams SA </w:t>
      </w:r>
      <w:r w:rsidRPr="00945023">
        <w:rPr>
          <w:rStyle w:val="normalchar1"/>
          <w:rFonts w:ascii="Cambria" w:eastAsia="MS ????" w:hAnsi="Cambria" w:cs="Cambria"/>
          <w:i/>
          <w:iCs/>
          <w:sz w:val="18"/>
          <w:szCs w:val="18"/>
          <w:lang w:val="nb-NO"/>
        </w:rPr>
        <w:t>et al</w:t>
      </w:r>
      <w:r w:rsidRPr="00945023">
        <w:rPr>
          <w:rStyle w:val="normalchar1"/>
          <w:rFonts w:ascii="Cambria" w:eastAsia="MS ????" w:hAnsi="Cambria" w:cs="Cambria"/>
          <w:sz w:val="18"/>
          <w:szCs w:val="18"/>
          <w:lang w:val="nb-NO"/>
        </w:rPr>
        <w:t xml:space="preserve">. </w:t>
      </w:r>
      <w:r w:rsidRPr="006615DC">
        <w:rPr>
          <w:rStyle w:val="normalchar1"/>
          <w:rFonts w:ascii="Cambria" w:eastAsia="MS ????" w:hAnsi="Cambria" w:cs="Cambria"/>
          <w:sz w:val="18"/>
          <w:szCs w:val="18"/>
        </w:rPr>
        <w:t xml:space="preserve">The 2011 Report on dietary reference intakes for calcium and vitamin D from the Institute of Medicine: what clinicians need to know. </w:t>
      </w:r>
      <w:r w:rsidRPr="006615DC">
        <w:rPr>
          <w:rStyle w:val="normalchar1"/>
          <w:rFonts w:ascii="Cambria" w:eastAsia="MS ????" w:hAnsi="Cambria" w:cs="Cambria"/>
          <w:i/>
          <w:iCs/>
          <w:sz w:val="18"/>
          <w:szCs w:val="18"/>
        </w:rPr>
        <w:t xml:space="preserve">J Clin Endocrinol Metab </w:t>
      </w:r>
      <w:r w:rsidRPr="006615DC">
        <w:rPr>
          <w:rStyle w:val="normalchar1"/>
          <w:rFonts w:ascii="Cambria" w:eastAsia="MS ????" w:hAnsi="Cambria" w:cs="Cambria"/>
          <w:sz w:val="18"/>
          <w:szCs w:val="18"/>
        </w:rPr>
        <w:t xml:space="preserve">2011; </w:t>
      </w:r>
      <w:r w:rsidRPr="006615DC">
        <w:rPr>
          <w:rStyle w:val="normalchar1"/>
          <w:rFonts w:ascii="Cambria" w:eastAsia="MS ????" w:hAnsi="Cambria" w:cs="Cambria"/>
          <w:b/>
          <w:bCs/>
          <w:sz w:val="18"/>
          <w:szCs w:val="18"/>
        </w:rPr>
        <w:t>96</w:t>
      </w:r>
      <w:r w:rsidRPr="006615DC">
        <w:rPr>
          <w:rStyle w:val="normalchar1"/>
          <w:rFonts w:ascii="Cambria" w:eastAsia="MS ????" w:hAnsi="Cambria" w:cs="Cambria"/>
          <w:sz w:val="18"/>
          <w:szCs w:val="18"/>
        </w:rPr>
        <w:t>: 53–58.</w:t>
      </w:r>
    </w:p>
    <w:p w:rsidR="009716A4" w:rsidRPr="006615DC" w:rsidRDefault="00F50B22" w:rsidP="009716A4">
      <w:pPr>
        <w:pStyle w:val="ListParagraph"/>
        <w:numPr>
          <w:ilvl w:val="0"/>
          <w:numId w:val="7"/>
        </w:numPr>
        <w:rPr>
          <w:sz w:val="18"/>
          <w:szCs w:val="18"/>
        </w:rPr>
      </w:pPr>
      <w:hyperlink r:id="rId15" w:history="1">
        <w:r w:rsidR="009716A4" w:rsidRPr="006615DC">
          <w:rPr>
            <w:rStyle w:val="Hyperlink"/>
            <w:sz w:val="18"/>
            <w:szCs w:val="18"/>
          </w:rPr>
          <w:t>Irvine EJ</w:t>
        </w:r>
      </w:hyperlink>
      <w:r w:rsidR="009716A4" w:rsidRPr="006615DC">
        <w:rPr>
          <w:sz w:val="18"/>
          <w:szCs w:val="18"/>
        </w:rPr>
        <w:t xml:space="preserve">, </w:t>
      </w:r>
      <w:hyperlink r:id="rId16" w:history="1">
        <w:r w:rsidR="009716A4" w:rsidRPr="006615DC">
          <w:rPr>
            <w:rStyle w:val="Hyperlink"/>
            <w:sz w:val="18"/>
            <w:szCs w:val="18"/>
          </w:rPr>
          <w:t>Zhou Q</w:t>
        </w:r>
      </w:hyperlink>
      <w:r w:rsidR="009716A4" w:rsidRPr="006615DC">
        <w:rPr>
          <w:sz w:val="18"/>
          <w:szCs w:val="18"/>
        </w:rPr>
        <w:t xml:space="preserve">, </w:t>
      </w:r>
      <w:hyperlink r:id="rId17" w:history="1">
        <w:r w:rsidR="009716A4" w:rsidRPr="006615DC">
          <w:rPr>
            <w:rStyle w:val="Hyperlink"/>
            <w:sz w:val="18"/>
            <w:szCs w:val="18"/>
          </w:rPr>
          <w:t>Thompson AK</w:t>
        </w:r>
      </w:hyperlink>
      <w:r w:rsidR="009716A4" w:rsidRPr="006615DC">
        <w:rPr>
          <w:sz w:val="18"/>
          <w:szCs w:val="18"/>
        </w:rPr>
        <w:t xml:space="preserve">. The Short Inflammatory Bowel Disease Questionnaire: a quality of life instrument for community physicians managing inflammatory bowel disease. CCRPT Investigators. Canadian Crohn's Relapse Prevention Trial. </w:t>
      </w:r>
      <w:hyperlink r:id="rId18" w:tooltip="The American journal of gastroenterology." w:history="1">
        <w:r w:rsidR="009716A4" w:rsidRPr="006615DC">
          <w:rPr>
            <w:rStyle w:val="Hyperlink"/>
            <w:sz w:val="18"/>
            <w:szCs w:val="18"/>
          </w:rPr>
          <w:t>Am J Gastroenterol.</w:t>
        </w:r>
      </w:hyperlink>
      <w:r w:rsidR="009716A4" w:rsidRPr="006615DC">
        <w:rPr>
          <w:sz w:val="18"/>
          <w:szCs w:val="18"/>
        </w:rPr>
        <w:t xml:space="preserve"> 1996 Aug;91(8):1571-8. Department of Medicine, McMaster University, Hamilton, Ontario.</w:t>
      </w:r>
    </w:p>
    <w:p w:rsidR="009716A4" w:rsidRPr="006615DC" w:rsidRDefault="009716A4" w:rsidP="009716A4">
      <w:pPr>
        <w:pStyle w:val="ListParagraph"/>
        <w:numPr>
          <w:ilvl w:val="0"/>
          <w:numId w:val="7"/>
        </w:numPr>
        <w:autoSpaceDE w:val="0"/>
        <w:autoSpaceDN w:val="0"/>
        <w:adjustRightInd w:val="0"/>
        <w:rPr>
          <w:rFonts w:eastAsia="NEJMQuadraat-Regular"/>
          <w:sz w:val="18"/>
          <w:szCs w:val="18"/>
        </w:rPr>
      </w:pPr>
      <w:r w:rsidRPr="00945023">
        <w:rPr>
          <w:rFonts w:eastAsia="NEJMQuadraat-Regular"/>
          <w:sz w:val="18"/>
          <w:szCs w:val="18"/>
          <w:lang w:val="da-DK"/>
        </w:rPr>
        <w:t xml:space="preserve">Schroeder KW, Tremaine WJ, Ilstrup DM. </w:t>
      </w:r>
      <w:r w:rsidRPr="006615DC">
        <w:rPr>
          <w:rFonts w:eastAsia="NEJMQuadraat-Regular"/>
          <w:sz w:val="18"/>
          <w:szCs w:val="18"/>
        </w:rPr>
        <w:t>Coated oral 5-aminosalicylic acid therapy for mildly to moderately active ulcerative colitis: a randomized study. N Engl J Med 1987;317:1625-9.</w:t>
      </w:r>
    </w:p>
    <w:p w:rsidR="009716A4" w:rsidRPr="006615DC" w:rsidRDefault="009716A4" w:rsidP="009716A4">
      <w:pPr>
        <w:pStyle w:val="ListParagraph"/>
        <w:numPr>
          <w:ilvl w:val="0"/>
          <w:numId w:val="7"/>
        </w:numPr>
        <w:spacing w:before="100" w:beforeAutospacing="1" w:after="100" w:afterAutospacing="1"/>
        <w:outlineLvl w:val="0"/>
        <w:rPr>
          <w:rFonts w:eastAsia="Times New Roman" w:cs="Times New Roman"/>
          <w:b/>
          <w:bCs/>
          <w:kern w:val="36"/>
          <w:sz w:val="18"/>
          <w:szCs w:val="18"/>
        </w:rPr>
      </w:pPr>
      <w:r w:rsidRPr="006615DC">
        <w:rPr>
          <w:rStyle w:val="citation"/>
          <w:sz w:val="18"/>
          <w:szCs w:val="18"/>
        </w:rPr>
        <w:t xml:space="preserve">Best WR, Becktel JM, Singleton JW, Kern F Jr. (Mar 1976). "Development of a Crohn's disease activity index. National Cooperative Crohn's Disease Study". </w:t>
      </w:r>
      <w:r w:rsidRPr="006615DC">
        <w:rPr>
          <w:rStyle w:val="citation"/>
          <w:i/>
          <w:iCs/>
          <w:sz w:val="18"/>
          <w:szCs w:val="18"/>
        </w:rPr>
        <w:t>Gastroenterology</w:t>
      </w:r>
      <w:r w:rsidRPr="006615DC">
        <w:rPr>
          <w:rStyle w:val="citation"/>
          <w:sz w:val="18"/>
          <w:szCs w:val="18"/>
        </w:rPr>
        <w:t xml:space="preserve"> </w:t>
      </w:r>
      <w:r w:rsidRPr="006615DC">
        <w:rPr>
          <w:rStyle w:val="citation"/>
          <w:b/>
          <w:bCs/>
          <w:sz w:val="18"/>
          <w:szCs w:val="18"/>
        </w:rPr>
        <w:t>70</w:t>
      </w:r>
      <w:r w:rsidRPr="006615DC">
        <w:rPr>
          <w:rStyle w:val="citation"/>
          <w:sz w:val="18"/>
          <w:szCs w:val="18"/>
        </w:rPr>
        <w:t xml:space="preserve"> (3): 439–444. </w:t>
      </w:r>
      <w:hyperlink r:id="rId19" w:tooltip="PubMed Identifier" w:history="1">
        <w:r w:rsidRPr="006615DC">
          <w:rPr>
            <w:rStyle w:val="Hyperlink"/>
            <w:sz w:val="18"/>
            <w:szCs w:val="18"/>
          </w:rPr>
          <w:t>PMID</w:t>
        </w:r>
      </w:hyperlink>
      <w:r w:rsidRPr="006615DC">
        <w:rPr>
          <w:rStyle w:val="citation"/>
          <w:rFonts w:cs="Times New Roman"/>
          <w:sz w:val="18"/>
          <w:szCs w:val="18"/>
        </w:rPr>
        <w:t> </w:t>
      </w:r>
      <w:hyperlink r:id="rId20" w:history="1">
        <w:r w:rsidRPr="006615DC">
          <w:rPr>
            <w:rStyle w:val="Hyperlink"/>
            <w:sz w:val="18"/>
            <w:szCs w:val="18"/>
          </w:rPr>
          <w:t>1248701</w:t>
        </w:r>
      </w:hyperlink>
    </w:p>
    <w:p w:rsidR="009716A4" w:rsidRPr="006615DC" w:rsidRDefault="009716A4" w:rsidP="009716A4">
      <w:pPr>
        <w:pStyle w:val="ListParagraph"/>
        <w:autoSpaceDE w:val="0"/>
        <w:autoSpaceDN w:val="0"/>
        <w:adjustRightInd w:val="0"/>
        <w:rPr>
          <w:rFonts w:eastAsia="NEJMQuadraat-Regular" w:cs="Times New Roman"/>
          <w:sz w:val="18"/>
          <w:szCs w:val="18"/>
        </w:rPr>
      </w:pPr>
    </w:p>
    <w:p w:rsidR="009716A4" w:rsidRPr="006658F5" w:rsidRDefault="009716A4" w:rsidP="009716A4">
      <w:pPr>
        <w:pStyle w:val="normal0"/>
        <w:spacing w:after="0" w:line="240" w:lineRule="atLeast"/>
        <w:ind w:left="720"/>
        <w:rPr>
          <w:rFonts w:ascii="Cambria" w:eastAsia="Arial Unicode MS" w:hAnsi="Cambria" w:cs="Times New Roman"/>
          <w:sz w:val="18"/>
          <w:szCs w:val="18"/>
        </w:rPr>
      </w:pPr>
    </w:p>
    <w:p w:rsidR="009716A4" w:rsidRPr="006658F5" w:rsidRDefault="009716A4" w:rsidP="009716A4">
      <w:pPr>
        <w:rPr>
          <w:rFonts w:eastAsia="Arial Unicode MS" w:cs="Times New Roman"/>
          <w:sz w:val="18"/>
          <w:szCs w:val="18"/>
        </w:rPr>
      </w:pPr>
    </w:p>
    <w:p w:rsidR="009716A4" w:rsidRPr="006658F5" w:rsidRDefault="009716A4" w:rsidP="009716A4">
      <w:pPr>
        <w:rPr>
          <w:rFonts w:cs="Times New Roman"/>
          <w:sz w:val="18"/>
          <w:szCs w:val="18"/>
        </w:rPr>
      </w:pPr>
    </w:p>
    <w:p w:rsidR="009716A4" w:rsidRPr="00D72582" w:rsidRDefault="00F50B22" w:rsidP="009716A4">
      <w:pPr>
        <w:pStyle w:val="ListParagraph"/>
        <w:ind w:left="0"/>
        <w:rPr>
          <w:rFonts w:cs="Times New Roman"/>
          <w:b/>
          <w:bCs/>
          <w:sz w:val="22"/>
          <w:szCs w:val="22"/>
        </w:rPr>
      </w:pPr>
      <w:hyperlink r:id="rId21" w:tooltip="Remission" w:history="1">
        <w:r w:rsidR="009716A4" w:rsidRPr="00D72582">
          <w:rPr>
            <w:rStyle w:val="Hyperlink"/>
            <w:sz w:val="22"/>
            <w:szCs w:val="22"/>
          </w:rPr>
          <w:t>Remission</w:t>
        </w:r>
      </w:hyperlink>
      <w:r w:rsidR="009716A4" w:rsidRPr="00D72582">
        <w:rPr>
          <w:sz w:val="22"/>
          <w:szCs w:val="22"/>
        </w:rPr>
        <w:t xml:space="preserve"> of Crohn's disease is defined as a fall in the CDAI of </w:t>
      </w:r>
      <w:r w:rsidR="009716A4">
        <w:rPr>
          <w:sz w:val="22"/>
          <w:szCs w:val="22"/>
        </w:rPr>
        <w:t>less than 150. Severe disease i</w:t>
      </w:r>
      <w:r w:rsidR="009716A4" w:rsidRPr="00D72582">
        <w:rPr>
          <w:sz w:val="22"/>
          <w:szCs w:val="22"/>
        </w:rPr>
        <w:t>s defined as a value of greater than 450. Most major research studies on medications in Crohn's disease define response as a fall of the CDAI of greater than 70 points</w:t>
      </w:r>
      <w:r w:rsidR="009716A4">
        <w:rPr>
          <w:sz w:val="22"/>
          <w:szCs w:val="22"/>
        </w:rPr>
        <w:t>.</w:t>
      </w:r>
    </w:p>
    <w:p w:rsidR="009716A4" w:rsidRDefault="009716A4" w:rsidP="009716A4">
      <w:pPr>
        <w:pStyle w:val="ListParagraph"/>
        <w:ind w:left="0"/>
        <w:rPr>
          <w:rFonts w:cs="Times New Roman"/>
          <w:b/>
          <w:bCs/>
        </w:rPr>
      </w:pPr>
    </w:p>
    <w:p w:rsidR="009716A4" w:rsidRDefault="009716A4" w:rsidP="009716A4">
      <w:pPr>
        <w:pStyle w:val="ListParagraph"/>
        <w:ind w:left="0"/>
        <w:rPr>
          <w:rFonts w:cs="Times New Roman"/>
          <w:b/>
          <w:bCs/>
        </w:rPr>
      </w:pPr>
    </w:p>
    <w:p w:rsidR="009716A4" w:rsidRDefault="009716A4" w:rsidP="009716A4">
      <w:pPr>
        <w:pStyle w:val="ListParagraph"/>
        <w:ind w:left="0"/>
        <w:rPr>
          <w:rFonts w:cs="Times New Roman"/>
          <w:b/>
          <w:bCs/>
        </w:rPr>
      </w:pPr>
    </w:p>
    <w:p w:rsidR="009716A4" w:rsidRDefault="009716A4" w:rsidP="009716A4">
      <w:pPr>
        <w:pStyle w:val="ListParagraph"/>
        <w:ind w:left="0"/>
        <w:rPr>
          <w:b/>
          <w:bCs/>
        </w:rPr>
      </w:pPr>
    </w:p>
    <w:p w:rsidR="009716A4" w:rsidRPr="00FF46D5" w:rsidRDefault="009716A4" w:rsidP="009716A4">
      <w:pPr>
        <w:pStyle w:val="ListParagraph"/>
        <w:ind w:left="0"/>
        <w:rPr>
          <w:rFonts w:cs="Times New Roman"/>
          <w:b/>
          <w:bCs/>
        </w:rPr>
      </w:pPr>
      <w:r w:rsidRPr="006709EC">
        <w:rPr>
          <w:b/>
          <w:bCs/>
        </w:rPr>
        <w:t>REFERANCES</w:t>
      </w:r>
      <w:r>
        <w:t>:</w:t>
      </w:r>
    </w:p>
    <w:p w:rsidR="009716A4" w:rsidRDefault="009716A4" w:rsidP="009716A4">
      <w:pPr>
        <w:rPr>
          <w:rFonts w:cs="Times New Roman"/>
        </w:rPr>
      </w:pPr>
    </w:p>
    <w:p w:rsidR="009716A4" w:rsidRPr="00B276E7" w:rsidRDefault="009716A4" w:rsidP="009716A4">
      <w:pPr>
        <w:pStyle w:val="ListParagraph"/>
        <w:numPr>
          <w:ilvl w:val="0"/>
          <w:numId w:val="8"/>
        </w:numPr>
        <w:autoSpaceDE w:val="0"/>
        <w:autoSpaceDN w:val="0"/>
        <w:adjustRightInd w:val="0"/>
        <w:rPr>
          <w:rFonts w:asciiTheme="majorHAnsi" w:hAnsiTheme="majorHAnsi"/>
          <w:sz w:val="18"/>
          <w:szCs w:val="18"/>
        </w:rPr>
      </w:pPr>
      <w:r w:rsidRPr="00B276E7">
        <w:rPr>
          <w:rFonts w:asciiTheme="majorHAnsi" w:hAnsiTheme="majorHAnsi"/>
          <w:sz w:val="18"/>
          <w:szCs w:val="18"/>
        </w:rPr>
        <w:t>Khor B, Gardet A, Xavier RJ. Genetics and pathogenesis of inflammatory bowel disease. Nature. 2011;474(7351):307–17.</w:t>
      </w:r>
    </w:p>
    <w:p w:rsidR="009716A4" w:rsidRPr="00B276E7" w:rsidRDefault="009716A4" w:rsidP="009716A4">
      <w:pPr>
        <w:pStyle w:val="ListParagraph"/>
        <w:numPr>
          <w:ilvl w:val="0"/>
          <w:numId w:val="8"/>
        </w:numPr>
        <w:rPr>
          <w:rFonts w:asciiTheme="majorHAnsi" w:hAnsiTheme="majorHAnsi" w:cs="Times New Roman"/>
          <w:sz w:val="18"/>
          <w:szCs w:val="18"/>
        </w:rPr>
      </w:pPr>
      <w:r w:rsidRPr="00B276E7">
        <w:rPr>
          <w:rStyle w:val="normalchar1"/>
          <w:rFonts w:asciiTheme="majorHAnsi" w:hAnsiTheme="majorHAnsi"/>
          <w:sz w:val="18"/>
          <w:szCs w:val="18"/>
        </w:rPr>
        <w:t>Ulitsky, A., Ananthakrishnan A.N., Naik A., et al. Vitamin D deficiency in patients with inflammatory bowel disease: Association with disease Activity and quality of life. Journal of parenteral and Enteral nutrition 2011;35:308_316</w:t>
      </w:r>
    </w:p>
    <w:p w:rsidR="009716A4" w:rsidRPr="00B276E7" w:rsidRDefault="009716A4" w:rsidP="009716A4">
      <w:pPr>
        <w:pStyle w:val="ListParagraph"/>
        <w:numPr>
          <w:ilvl w:val="0"/>
          <w:numId w:val="8"/>
        </w:numPr>
        <w:spacing w:line="240" w:lineRule="atLeast"/>
        <w:rPr>
          <w:rFonts w:asciiTheme="majorHAnsi" w:eastAsia="MS ????" w:hAnsiTheme="majorHAnsi" w:cs="Times New Roman"/>
          <w:sz w:val="18"/>
          <w:szCs w:val="18"/>
        </w:rPr>
      </w:pPr>
      <w:r w:rsidRPr="00B276E7">
        <w:rPr>
          <w:rFonts w:asciiTheme="majorHAnsi" w:hAnsiTheme="majorHAnsi"/>
          <w:sz w:val="18"/>
          <w:szCs w:val="18"/>
          <w:lang w:val="da-DK"/>
        </w:rPr>
        <w:t xml:space="preserve">Kong J, Zhang Z et al. </w:t>
      </w:r>
      <w:r w:rsidRPr="00B276E7">
        <w:rPr>
          <w:rFonts w:asciiTheme="majorHAnsi" w:hAnsiTheme="majorHAnsi"/>
          <w:sz w:val="18"/>
          <w:szCs w:val="18"/>
        </w:rPr>
        <w:t xml:space="preserve">Novel role of vitamin D receptor in maintaining integrity of intestinal mucosal barrier. Am J Physiology Gastrointestinal liver physiology 294 (1), G208-G216. </w:t>
      </w:r>
    </w:p>
    <w:p w:rsidR="009716A4" w:rsidRPr="00B276E7" w:rsidRDefault="009716A4" w:rsidP="009716A4">
      <w:pPr>
        <w:pStyle w:val="normal0"/>
        <w:numPr>
          <w:ilvl w:val="0"/>
          <w:numId w:val="8"/>
        </w:numPr>
        <w:spacing w:after="0" w:line="240" w:lineRule="atLeast"/>
        <w:rPr>
          <w:rFonts w:asciiTheme="majorHAnsi" w:hAnsiTheme="majorHAnsi" w:cs="Cambria"/>
          <w:sz w:val="18"/>
          <w:szCs w:val="18"/>
        </w:rPr>
      </w:pPr>
      <w:r w:rsidRPr="00B276E7">
        <w:rPr>
          <w:rStyle w:val="normalchar1"/>
          <w:rFonts w:asciiTheme="majorHAnsi" w:eastAsia="MS ????" w:hAnsiTheme="majorHAnsi" w:cs="Cambria"/>
          <w:sz w:val="18"/>
          <w:szCs w:val="18"/>
          <w:lang w:val="nb-NO"/>
        </w:rPr>
        <w:t>Ross AC, Manson JE, Abrams SA</w:t>
      </w:r>
      <w:r w:rsidRPr="00B276E7">
        <w:rPr>
          <w:rStyle w:val="normalchar1"/>
          <w:rFonts w:asciiTheme="majorHAnsi" w:eastAsia="MS ????" w:hAnsiTheme="majorHAnsi" w:cs="Cambria"/>
          <w:i/>
          <w:iCs/>
          <w:sz w:val="18"/>
          <w:szCs w:val="18"/>
          <w:lang w:val="nb-NO"/>
        </w:rPr>
        <w:t xml:space="preserve"> et al</w:t>
      </w:r>
      <w:r w:rsidRPr="00B276E7">
        <w:rPr>
          <w:rStyle w:val="normalchar1"/>
          <w:rFonts w:asciiTheme="majorHAnsi" w:eastAsia="MS ????" w:hAnsiTheme="majorHAnsi" w:cs="Cambria"/>
          <w:sz w:val="18"/>
          <w:szCs w:val="18"/>
          <w:lang w:val="nb-NO"/>
        </w:rPr>
        <w:t xml:space="preserve">. </w:t>
      </w:r>
      <w:r w:rsidRPr="00B276E7">
        <w:rPr>
          <w:rStyle w:val="normalchar1"/>
          <w:rFonts w:asciiTheme="majorHAnsi" w:eastAsia="MS ????" w:hAnsiTheme="majorHAnsi" w:cs="Cambria"/>
          <w:sz w:val="18"/>
          <w:szCs w:val="18"/>
        </w:rPr>
        <w:t>The 2011 Report on dietary reference intakes for calcium and vitamin D from the Institute of Medicine: what clinicians need to know.</w:t>
      </w:r>
      <w:r w:rsidRPr="00B276E7">
        <w:rPr>
          <w:rStyle w:val="normalchar1"/>
          <w:rFonts w:asciiTheme="majorHAnsi" w:eastAsia="MS ????" w:hAnsiTheme="majorHAnsi" w:cs="Cambria"/>
          <w:i/>
          <w:iCs/>
          <w:sz w:val="18"/>
          <w:szCs w:val="18"/>
        </w:rPr>
        <w:t xml:space="preserve"> J Clin Endocrinol Metab </w:t>
      </w:r>
      <w:r w:rsidRPr="00B276E7">
        <w:rPr>
          <w:rStyle w:val="normalchar1"/>
          <w:rFonts w:asciiTheme="majorHAnsi" w:eastAsia="MS ????" w:hAnsiTheme="majorHAnsi" w:cs="Cambria"/>
          <w:sz w:val="18"/>
          <w:szCs w:val="18"/>
        </w:rPr>
        <w:t>2011;</w:t>
      </w:r>
      <w:r w:rsidRPr="00B276E7">
        <w:rPr>
          <w:rStyle w:val="normalchar1"/>
          <w:rFonts w:asciiTheme="majorHAnsi" w:eastAsia="MS ????" w:hAnsiTheme="majorHAnsi" w:cs="Cambria"/>
          <w:b/>
          <w:bCs/>
          <w:sz w:val="18"/>
          <w:szCs w:val="18"/>
        </w:rPr>
        <w:t xml:space="preserve"> </w:t>
      </w:r>
      <w:r w:rsidRPr="00B276E7">
        <w:rPr>
          <w:rStyle w:val="normalchar1"/>
          <w:rFonts w:asciiTheme="majorHAnsi" w:eastAsia="MS ????" w:hAnsiTheme="majorHAnsi" w:cs="Cambria"/>
          <w:sz w:val="18"/>
          <w:szCs w:val="18"/>
        </w:rPr>
        <w:t>96: 53–58.</w:t>
      </w:r>
    </w:p>
    <w:p w:rsidR="009716A4" w:rsidRPr="00B276E7" w:rsidRDefault="009716A4" w:rsidP="009716A4">
      <w:pPr>
        <w:pStyle w:val="normal0"/>
        <w:numPr>
          <w:ilvl w:val="0"/>
          <w:numId w:val="8"/>
        </w:numPr>
        <w:spacing w:after="0" w:line="240" w:lineRule="atLeast"/>
        <w:rPr>
          <w:rFonts w:asciiTheme="majorHAnsi" w:hAnsiTheme="majorHAnsi" w:cs="Cambria"/>
          <w:sz w:val="18"/>
          <w:szCs w:val="18"/>
        </w:rPr>
      </w:pPr>
      <w:r w:rsidRPr="00B276E7">
        <w:rPr>
          <w:rStyle w:val="normalchar1"/>
          <w:rFonts w:asciiTheme="majorHAnsi" w:eastAsia="MS ????" w:hAnsiTheme="majorHAnsi" w:cs="Cambria"/>
          <w:sz w:val="18"/>
          <w:szCs w:val="18"/>
        </w:rPr>
        <w:t>Andjelkovic, Z., Vojinovic, J., Pejnovic, N., Popovic, M., Dujic, A., Mitrovic, D. et al. (1999) Disease modifying and immune modulatory effects of high dose 1 alpha (OH) D3 in rheumatoid arthritis patients. Clin Exp Rheumatol 17: 453_456.</w:t>
      </w:r>
    </w:p>
    <w:p w:rsidR="009716A4" w:rsidRPr="00B276E7" w:rsidRDefault="009716A4" w:rsidP="009716A4">
      <w:pPr>
        <w:pStyle w:val="normal0"/>
        <w:numPr>
          <w:ilvl w:val="0"/>
          <w:numId w:val="8"/>
        </w:numPr>
        <w:spacing w:after="0" w:line="240" w:lineRule="atLeast"/>
        <w:rPr>
          <w:rFonts w:asciiTheme="majorHAnsi" w:hAnsiTheme="majorHAnsi" w:cs="Cambria"/>
          <w:sz w:val="18"/>
          <w:szCs w:val="18"/>
        </w:rPr>
      </w:pPr>
      <w:r w:rsidRPr="00B276E7">
        <w:rPr>
          <w:rStyle w:val="normalchar1"/>
          <w:rFonts w:asciiTheme="majorHAnsi" w:eastAsia="MS ????" w:hAnsiTheme="majorHAnsi" w:cs="Cambria"/>
          <w:sz w:val="18"/>
          <w:szCs w:val="18"/>
        </w:rPr>
        <w:t xml:space="preserve">Nordvik, I., Myhr, K.M., Nyland, H. and Bjerve, K.S. (2000) Effect of dietary advice and n-3 supplementation in newly diagnosed MS patients. </w:t>
      </w:r>
      <w:r w:rsidRPr="00B276E7">
        <w:rPr>
          <w:rStyle w:val="normalchar1"/>
          <w:rFonts w:asciiTheme="majorHAnsi" w:eastAsia="MS ????" w:hAnsiTheme="majorHAnsi" w:cs="Cambria"/>
          <w:i/>
          <w:iCs/>
          <w:sz w:val="18"/>
          <w:szCs w:val="18"/>
        </w:rPr>
        <w:t>Acta Neurol Scand</w:t>
      </w:r>
      <w:r w:rsidRPr="00B276E7">
        <w:rPr>
          <w:rStyle w:val="normalchar1"/>
          <w:rFonts w:asciiTheme="majorHAnsi" w:eastAsia="MS ????" w:hAnsiTheme="majorHAnsi" w:cs="Cambria"/>
          <w:sz w:val="18"/>
          <w:szCs w:val="18"/>
        </w:rPr>
        <w:t xml:space="preserve"> 102: 143_149.</w:t>
      </w:r>
    </w:p>
    <w:p w:rsidR="009716A4" w:rsidRPr="00B276E7" w:rsidRDefault="009716A4" w:rsidP="009716A4">
      <w:pPr>
        <w:pStyle w:val="normal0"/>
        <w:numPr>
          <w:ilvl w:val="0"/>
          <w:numId w:val="8"/>
        </w:numPr>
        <w:spacing w:after="0" w:line="240" w:lineRule="atLeast"/>
        <w:rPr>
          <w:rStyle w:val="normalchar1"/>
        </w:rPr>
      </w:pPr>
      <w:r w:rsidRPr="00B276E7">
        <w:rPr>
          <w:rStyle w:val="normalchar1"/>
          <w:rFonts w:asciiTheme="majorHAnsi" w:eastAsia="MS ????" w:hAnsiTheme="majorHAnsi" w:cs="Cambria"/>
          <w:sz w:val="18"/>
          <w:szCs w:val="18"/>
        </w:rPr>
        <w:t>Goldberg, P., Fleming, M.C. and Picard, E.H. (1986) Multiple sclerosis: Decreased relapse rate through dietary supplementation with calcium, magnesium and vitamin D. Med Hypotheses 21: 193_200.</w:t>
      </w:r>
    </w:p>
    <w:p w:rsidR="009716A4" w:rsidRPr="00B276E7" w:rsidRDefault="009716A4" w:rsidP="009716A4">
      <w:pPr>
        <w:pStyle w:val="normal0"/>
        <w:numPr>
          <w:ilvl w:val="0"/>
          <w:numId w:val="8"/>
        </w:numPr>
        <w:spacing w:after="0" w:line="240" w:lineRule="atLeast"/>
        <w:rPr>
          <w:rStyle w:val="normalchar1"/>
        </w:rPr>
      </w:pPr>
      <w:r w:rsidRPr="00B276E7">
        <w:rPr>
          <w:rStyle w:val="normalchar1"/>
          <w:rFonts w:asciiTheme="majorHAnsi" w:eastAsia="Arial Unicode MS" w:hAnsiTheme="majorHAnsi" w:cs="Cambria"/>
          <w:sz w:val="18"/>
          <w:szCs w:val="18"/>
        </w:rPr>
        <w:t xml:space="preserve">Joseph AK, et al. 25(OH) vitamin D level in Crohn’s disease: association with sun exposure and disease activity 2009.    </w:t>
      </w:r>
      <w:r w:rsidRPr="00B276E7">
        <w:rPr>
          <w:rStyle w:val="normalchar1"/>
          <w:rFonts w:asciiTheme="majorHAnsi" w:eastAsia="Arial Unicode MS" w:hAnsiTheme="majorHAnsi" w:cs="Cambria"/>
          <w:i/>
          <w:iCs/>
          <w:sz w:val="18"/>
          <w:szCs w:val="18"/>
        </w:rPr>
        <w:t xml:space="preserve">Indian J Med Research </w:t>
      </w:r>
      <w:r w:rsidRPr="00B276E7">
        <w:rPr>
          <w:rStyle w:val="normalchar1"/>
          <w:rFonts w:asciiTheme="majorHAnsi" w:eastAsia="Arial Unicode MS" w:hAnsiTheme="majorHAnsi" w:cs="Cambria"/>
          <w:sz w:val="18"/>
          <w:szCs w:val="18"/>
        </w:rPr>
        <w:t>130: 133-137</w:t>
      </w:r>
    </w:p>
    <w:p w:rsidR="009716A4" w:rsidRPr="00B276E7" w:rsidRDefault="009716A4" w:rsidP="009716A4">
      <w:pPr>
        <w:pStyle w:val="normal0"/>
        <w:numPr>
          <w:ilvl w:val="0"/>
          <w:numId w:val="8"/>
        </w:numPr>
        <w:spacing w:after="0" w:line="240" w:lineRule="atLeast"/>
        <w:rPr>
          <w:rFonts w:asciiTheme="majorHAnsi" w:eastAsia="Arial Unicode MS" w:hAnsiTheme="majorHAnsi" w:cs="Cambria"/>
          <w:sz w:val="18"/>
          <w:szCs w:val="18"/>
        </w:rPr>
      </w:pPr>
      <w:r w:rsidRPr="00B276E7">
        <w:rPr>
          <w:rFonts w:asciiTheme="majorHAnsi" w:hAnsiTheme="majorHAnsi" w:cs="Cambria"/>
          <w:sz w:val="18"/>
          <w:szCs w:val="18"/>
        </w:rPr>
        <w:t xml:space="preserve">Miheller et al. </w:t>
      </w:r>
      <w:r w:rsidRPr="00B276E7">
        <w:rPr>
          <w:rFonts w:asciiTheme="majorHAnsi" w:hAnsiTheme="majorHAnsi" w:cs="Cambria"/>
          <w:color w:val="241F20"/>
          <w:sz w:val="18"/>
          <w:szCs w:val="18"/>
        </w:rPr>
        <w:t>Comparison of the Effects of 1,25 Dihydroxyvitamin D and 25 Hydroxyvitamin D on Bone Pathology and Disease Activity in Crohn’s Disease Patients. Inflamm Bowel Dis 2009;15:1656–1662</w:t>
      </w:r>
      <w:r w:rsidRPr="00B276E7">
        <w:rPr>
          <w:rFonts w:asciiTheme="majorHAnsi" w:eastAsia="Arial Unicode MS" w:hAnsiTheme="majorHAnsi" w:cs="Cambria"/>
          <w:sz w:val="18"/>
          <w:szCs w:val="18"/>
        </w:rPr>
        <w:t>.</w:t>
      </w:r>
    </w:p>
    <w:p w:rsidR="009716A4" w:rsidRPr="00B276E7" w:rsidRDefault="009716A4" w:rsidP="009716A4">
      <w:pPr>
        <w:pStyle w:val="normal0"/>
        <w:numPr>
          <w:ilvl w:val="0"/>
          <w:numId w:val="8"/>
        </w:numPr>
        <w:spacing w:after="0" w:line="240" w:lineRule="atLeast"/>
        <w:rPr>
          <w:rFonts w:asciiTheme="majorHAnsi" w:eastAsia="Arial Unicode MS" w:hAnsiTheme="majorHAnsi" w:cs="Times New Roman"/>
          <w:sz w:val="18"/>
          <w:szCs w:val="18"/>
        </w:rPr>
      </w:pPr>
      <w:r w:rsidRPr="00B276E7">
        <w:rPr>
          <w:rFonts w:asciiTheme="majorHAnsi" w:hAnsiTheme="majorHAnsi" w:cs="Cambria"/>
          <w:sz w:val="18"/>
          <w:szCs w:val="18"/>
          <w:lang w:val="da-DK"/>
        </w:rPr>
        <w:t>Jorgenson S.P et al.</w:t>
      </w:r>
      <w:r w:rsidRPr="00B276E7">
        <w:rPr>
          <w:rFonts w:asciiTheme="majorHAnsi" w:hAnsiTheme="majorHAnsi"/>
          <w:sz w:val="18"/>
          <w:szCs w:val="18"/>
          <w:lang w:val="da-DK"/>
        </w:rPr>
        <w:t xml:space="preserve"> </w:t>
      </w:r>
      <w:r w:rsidRPr="00B276E7">
        <w:rPr>
          <w:rFonts w:asciiTheme="majorHAnsi" w:hAnsiTheme="majorHAnsi" w:cs="Cambria"/>
          <w:sz w:val="18"/>
          <w:szCs w:val="18"/>
        </w:rPr>
        <w:t>Clinical trial: vitamin D3 treatment in Crohn’s disease – a</w:t>
      </w:r>
    </w:p>
    <w:p w:rsidR="009716A4" w:rsidRPr="00B276E7" w:rsidRDefault="009716A4" w:rsidP="009716A4">
      <w:pPr>
        <w:ind w:firstLine="720"/>
        <w:rPr>
          <w:rFonts w:asciiTheme="majorHAnsi" w:hAnsiTheme="majorHAnsi" w:cs="Times New Roman"/>
          <w:sz w:val="18"/>
          <w:szCs w:val="18"/>
        </w:rPr>
      </w:pPr>
      <w:r w:rsidRPr="00B276E7">
        <w:rPr>
          <w:rFonts w:asciiTheme="majorHAnsi" w:hAnsiTheme="majorHAnsi"/>
          <w:sz w:val="18"/>
          <w:szCs w:val="18"/>
        </w:rPr>
        <w:t>Randomized double-blind placebo-controlled study.</w:t>
      </w:r>
      <w:r w:rsidRPr="00B276E7">
        <w:rPr>
          <w:rFonts w:asciiTheme="majorHAnsi" w:hAnsiTheme="majorHAnsi" w:cs="AdvTT9bd21c25.I"/>
          <w:sz w:val="18"/>
          <w:szCs w:val="18"/>
        </w:rPr>
        <w:t xml:space="preserve"> </w:t>
      </w:r>
      <w:r w:rsidRPr="00B276E7">
        <w:rPr>
          <w:rFonts w:asciiTheme="majorHAnsi" w:hAnsiTheme="majorHAnsi"/>
          <w:sz w:val="18"/>
          <w:szCs w:val="18"/>
        </w:rPr>
        <w:t>Aliment Pharmacol Ther 2010; 32: 377–383</w:t>
      </w:r>
    </w:p>
    <w:p w:rsidR="009716A4" w:rsidRPr="00B276E7" w:rsidRDefault="009716A4" w:rsidP="009716A4">
      <w:pPr>
        <w:pStyle w:val="normal0"/>
        <w:numPr>
          <w:ilvl w:val="0"/>
          <w:numId w:val="8"/>
        </w:numPr>
        <w:spacing w:after="0" w:line="240" w:lineRule="atLeast"/>
        <w:rPr>
          <w:rStyle w:val="normalchar1"/>
        </w:rPr>
      </w:pPr>
      <w:r w:rsidRPr="00B276E7">
        <w:rPr>
          <w:rStyle w:val="normalchar1"/>
          <w:rFonts w:asciiTheme="majorHAnsi" w:eastAsia="MS ????" w:hAnsiTheme="majorHAnsi" w:cs="Cambria"/>
          <w:sz w:val="18"/>
          <w:szCs w:val="18"/>
          <w:lang w:val="nb-NO"/>
        </w:rPr>
        <w:t xml:space="preserve">Ross AC, Manson JE, Abrams SA </w:t>
      </w:r>
      <w:r w:rsidRPr="00B276E7">
        <w:rPr>
          <w:rStyle w:val="normalchar1"/>
          <w:rFonts w:asciiTheme="majorHAnsi" w:eastAsia="MS ????" w:hAnsiTheme="majorHAnsi" w:cs="Cambria"/>
          <w:i/>
          <w:iCs/>
          <w:sz w:val="18"/>
          <w:szCs w:val="18"/>
          <w:lang w:val="nb-NO"/>
        </w:rPr>
        <w:t>et al</w:t>
      </w:r>
      <w:r w:rsidRPr="00B276E7">
        <w:rPr>
          <w:rStyle w:val="normalchar1"/>
          <w:rFonts w:asciiTheme="majorHAnsi" w:eastAsia="MS ????" w:hAnsiTheme="majorHAnsi" w:cs="Cambria"/>
          <w:sz w:val="18"/>
          <w:szCs w:val="18"/>
          <w:lang w:val="nb-NO"/>
        </w:rPr>
        <w:t xml:space="preserve">. </w:t>
      </w:r>
      <w:r w:rsidRPr="00B276E7">
        <w:rPr>
          <w:rStyle w:val="normalchar1"/>
          <w:rFonts w:asciiTheme="majorHAnsi" w:eastAsia="MS ????" w:hAnsiTheme="majorHAnsi" w:cs="Cambria"/>
          <w:sz w:val="18"/>
          <w:szCs w:val="18"/>
        </w:rPr>
        <w:t xml:space="preserve">The 2011 Report on dietary reference intakes for calcium and vitamin D from the Institute of Medicine: what clinicians need to know. </w:t>
      </w:r>
      <w:r w:rsidRPr="00B276E7">
        <w:rPr>
          <w:rStyle w:val="normalchar1"/>
          <w:rFonts w:asciiTheme="majorHAnsi" w:eastAsia="MS ????" w:hAnsiTheme="majorHAnsi" w:cs="Cambria"/>
          <w:i/>
          <w:iCs/>
          <w:sz w:val="18"/>
          <w:szCs w:val="18"/>
        </w:rPr>
        <w:t xml:space="preserve">J Clin Endocrinol Metab </w:t>
      </w:r>
      <w:r w:rsidRPr="00B276E7">
        <w:rPr>
          <w:rStyle w:val="normalchar1"/>
          <w:rFonts w:asciiTheme="majorHAnsi" w:eastAsia="MS ????" w:hAnsiTheme="majorHAnsi" w:cs="Cambria"/>
          <w:sz w:val="18"/>
          <w:szCs w:val="18"/>
        </w:rPr>
        <w:t xml:space="preserve">2011; </w:t>
      </w:r>
      <w:r w:rsidRPr="00B276E7">
        <w:rPr>
          <w:rStyle w:val="normalchar1"/>
          <w:rFonts w:asciiTheme="majorHAnsi" w:eastAsia="MS ????" w:hAnsiTheme="majorHAnsi" w:cs="Cambria"/>
          <w:b/>
          <w:bCs/>
          <w:sz w:val="18"/>
          <w:szCs w:val="18"/>
        </w:rPr>
        <w:t>96</w:t>
      </w:r>
      <w:r w:rsidRPr="00B276E7">
        <w:rPr>
          <w:rStyle w:val="normalchar1"/>
          <w:rFonts w:asciiTheme="majorHAnsi" w:eastAsia="MS ????" w:hAnsiTheme="majorHAnsi" w:cs="Cambria"/>
          <w:sz w:val="18"/>
          <w:szCs w:val="18"/>
        </w:rPr>
        <w:t>: 53–58.</w:t>
      </w:r>
    </w:p>
    <w:p w:rsidR="00B276E7" w:rsidRPr="00F32BB5" w:rsidRDefault="00F50B22" w:rsidP="00B276E7">
      <w:pPr>
        <w:pStyle w:val="normal0"/>
        <w:numPr>
          <w:ilvl w:val="0"/>
          <w:numId w:val="8"/>
        </w:numPr>
        <w:spacing w:after="0" w:line="240" w:lineRule="atLeast"/>
        <w:rPr>
          <w:rFonts w:asciiTheme="majorHAnsi" w:eastAsia="Arial Unicode MS" w:hAnsiTheme="majorHAnsi" w:cs="Times New Roman"/>
          <w:sz w:val="18"/>
          <w:szCs w:val="18"/>
        </w:rPr>
      </w:pPr>
      <w:hyperlink r:id="rId22" w:history="1">
        <w:r w:rsidR="009716A4" w:rsidRPr="00B276E7">
          <w:rPr>
            <w:rStyle w:val="Hyperlink"/>
            <w:rFonts w:asciiTheme="majorHAnsi" w:hAnsiTheme="majorHAnsi"/>
            <w:sz w:val="18"/>
            <w:szCs w:val="18"/>
          </w:rPr>
          <w:t>Irvine EJ</w:t>
        </w:r>
      </w:hyperlink>
      <w:r w:rsidR="009716A4" w:rsidRPr="00B276E7">
        <w:rPr>
          <w:rFonts w:asciiTheme="majorHAnsi" w:hAnsiTheme="majorHAnsi"/>
          <w:sz w:val="18"/>
          <w:szCs w:val="18"/>
        </w:rPr>
        <w:t xml:space="preserve">, </w:t>
      </w:r>
      <w:hyperlink r:id="rId23" w:history="1">
        <w:r w:rsidR="009716A4" w:rsidRPr="00B276E7">
          <w:rPr>
            <w:rStyle w:val="Hyperlink"/>
            <w:rFonts w:asciiTheme="majorHAnsi" w:hAnsiTheme="majorHAnsi"/>
            <w:sz w:val="18"/>
            <w:szCs w:val="18"/>
          </w:rPr>
          <w:t>Zhou Q</w:t>
        </w:r>
      </w:hyperlink>
      <w:r w:rsidR="009716A4" w:rsidRPr="00B276E7">
        <w:rPr>
          <w:rFonts w:asciiTheme="majorHAnsi" w:hAnsiTheme="majorHAnsi"/>
          <w:sz w:val="18"/>
          <w:szCs w:val="18"/>
        </w:rPr>
        <w:t xml:space="preserve">, </w:t>
      </w:r>
      <w:hyperlink r:id="rId24" w:history="1">
        <w:r w:rsidR="009716A4" w:rsidRPr="00B276E7">
          <w:rPr>
            <w:rStyle w:val="Hyperlink"/>
            <w:rFonts w:asciiTheme="majorHAnsi" w:hAnsiTheme="majorHAnsi"/>
            <w:sz w:val="18"/>
            <w:szCs w:val="18"/>
          </w:rPr>
          <w:t>Thompson AK</w:t>
        </w:r>
      </w:hyperlink>
      <w:r w:rsidR="009716A4" w:rsidRPr="00B276E7">
        <w:rPr>
          <w:rFonts w:asciiTheme="majorHAnsi" w:hAnsiTheme="majorHAnsi"/>
          <w:sz w:val="18"/>
          <w:szCs w:val="18"/>
        </w:rPr>
        <w:t xml:space="preserve">. The Short Inflammatory Bowel Disease Questionnaire: a quality of life instrument for community physicians managing inflammatory bowel disease. CCRPT Investigators. Canadian Crohn's Relapse Prevention Trial. </w:t>
      </w:r>
      <w:hyperlink r:id="rId25" w:tooltip="The American journal of gastroenterology." w:history="1">
        <w:r w:rsidR="009716A4" w:rsidRPr="00B276E7">
          <w:rPr>
            <w:rStyle w:val="Hyperlink"/>
            <w:rFonts w:asciiTheme="majorHAnsi" w:hAnsiTheme="majorHAnsi"/>
            <w:sz w:val="18"/>
            <w:szCs w:val="18"/>
          </w:rPr>
          <w:t>Am J Gastroenterol.</w:t>
        </w:r>
      </w:hyperlink>
      <w:r w:rsidR="009716A4" w:rsidRPr="00B276E7">
        <w:rPr>
          <w:rFonts w:asciiTheme="majorHAnsi" w:hAnsiTheme="majorHAnsi"/>
          <w:sz w:val="18"/>
          <w:szCs w:val="18"/>
        </w:rPr>
        <w:t xml:space="preserve"> 1996 Aug;91(8):1571-8. Department of Medicine, McMaster University, Hamilton, Ontario.</w:t>
      </w:r>
      <w:r w:rsidR="00F32BB5">
        <w:rPr>
          <w:rFonts w:asciiTheme="majorHAnsi" w:hAnsiTheme="majorHAnsi"/>
          <w:sz w:val="18"/>
          <w:szCs w:val="18"/>
        </w:rPr>
        <w:t xml:space="preserve"> </w:t>
      </w:r>
    </w:p>
    <w:p w:rsidR="00F32BB5" w:rsidRDefault="00F32BB5" w:rsidP="00F32BB5">
      <w:pPr>
        <w:numPr>
          <w:ilvl w:val="0"/>
          <w:numId w:val="8"/>
        </w:numPr>
        <w:spacing w:before="100" w:beforeAutospacing="1" w:after="100" w:afterAutospacing="1"/>
        <w:rPr>
          <w:sz w:val="18"/>
          <w:szCs w:val="18"/>
        </w:rPr>
      </w:pPr>
      <w:r w:rsidRPr="00F32BB5">
        <w:rPr>
          <w:sz w:val="18"/>
          <w:szCs w:val="18"/>
        </w:rPr>
        <w:t xml:space="preserve">Vieth, R. </w:t>
      </w:r>
      <w:hyperlink r:id="rId26" w:tooltip="View reference" w:history="1">
        <w:r w:rsidRPr="00F32BB5">
          <w:rPr>
            <w:rStyle w:val="Hyperlink"/>
            <w:sz w:val="18"/>
            <w:szCs w:val="18"/>
          </w:rPr>
          <w:t>Vitamin D supplementation, 25-hydroxyvitamin D concentrations, and safety</w:t>
        </w:r>
      </w:hyperlink>
      <w:r w:rsidRPr="00F32BB5">
        <w:rPr>
          <w:sz w:val="18"/>
          <w:szCs w:val="18"/>
        </w:rPr>
        <w:t>. Am J Clin Nutr. 1999 May; 69 (5): 842-56.</w:t>
      </w:r>
    </w:p>
    <w:p w:rsidR="000162AF" w:rsidRPr="000162AF" w:rsidRDefault="000162AF" w:rsidP="000162AF">
      <w:pPr>
        <w:numPr>
          <w:ilvl w:val="0"/>
          <w:numId w:val="8"/>
        </w:numPr>
        <w:spacing w:before="100" w:beforeAutospacing="1" w:after="100" w:afterAutospacing="1"/>
        <w:rPr>
          <w:sz w:val="18"/>
          <w:szCs w:val="18"/>
        </w:rPr>
      </w:pPr>
      <w:r w:rsidRPr="000162AF">
        <w:rPr>
          <w:sz w:val="18"/>
          <w:szCs w:val="18"/>
        </w:rPr>
        <w:t xml:space="preserve">Koutkia, P. Chen, T. C. Holick, M. F. </w:t>
      </w:r>
      <w:hyperlink r:id="rId27" w:tooltip="View reference" w:history="1">
        <w:r w:rsidRPr="000162AF">
          <w:rPr>
            <w:rStyle w:val="Hyperlink"/>
            <w:sz w:val="18"/>
            <w:szCs w:val="18"/>
          </w:rPr>
          <w:t>Vitamin D intoxication associated with an over-the-counter supplement</w:t>
        </w:r>
      </w:hyperlink>
      <w:r w:rsidRPr="000162AF">
        <w:rPr>
          <w:sz w:val="18"/>
          <w:szCs w:val="18"/>
        </w:rPr>
        <w:t>. N Engl J Med. 2001 Jul 5; 345 (1): 66-7.</w:t>
      </w:r>
    </w:p>
    <w:p w:rsidR="000162AF" w:rsidRDefault="000162AF" w:rsidP="000162AF">
      <w:pPr>
        <w:numPr>
          <w:ilvl w:val="0"/>
          <w:numId w:val="8"/>
        </w:numPr>
        <w:spacing w:before="100" w:beforeAutospacing="1" w:after="100" w:afterAutospacing="1"/>
        <w:rPr>
          <w:sz w:val="18"/>
          <w:szCs w:val="18"/>
        </w:rPr>
      </w:pPr>
      <w:r w:rsidRPr="000162AF">
        <w:rPr>
          <w:sz w:val="18"/>
          <w:szCs w:val="18"/>
        </w:rPr>
        <w:t xml:space="preserve">Los Angeles Times </w:t>
      </w:r>
      <w:hyperlink r:id="rId28" w:tooltip="View reference" w:history="1">
        <w:r w:rsidRPr="000162AF">
          <w:rPr>
            <w:rStyle w:val="Hyperlink"/>
            <w:sz w:val="18"/>
            <w:szCs w:val="18"/>
          </w:rPr>
          <w:t>Supplements guru sues over his own product</w:t>
        </w:r>
      </w:hyperlink>
      <w:r w:rsidRPr="000162AF">
        <w:rPr>
          <w:sz w:val="18"/>
          <w:szCs w:val="18"/>
        </w:rPr>
        <w:t xml:space="preserve">. 2010/4/29; </w:t>
      </w:r>
    </w:p>
    <w:p w:rsidR="00B276E7" w:rsidRPr="000162AF" w:rsidRDefault="00044E4F" w:rsidP="000162AF">
      <w:pPr>
        <w:numPr>
          <w:ilvl w:val="0"/>
          <w:numId w:val="8"/>
        </w:numPr>
        <w:spacing w:before="100" w:beforeAutospacing="1" w:after="100" w:afterAutospacing="1"/>
        <w:rPr>
          <w:sz w:val="18"/>
          <w:szCs w:val="18"/>
        </w:rPr>
      </w:pPr>
      <w:r w:rsidRPr="000162AF">
        <w:rPr>
          <w:rFonts w:asciiTheme="majorHAnsi" w:hAnsiTheme="majorHAnsi"/>
          <w:sz w:val="18"/>
          <w:szCs w:val="18"/>
        </w:rPr>
        <w:t xml:space="preserve">Jones, G. </w:t>
      </w:r>
      <w:hyperlink r:id="rId29" w:tooltip="View reference" w:history="1">
        <w:r w:rsidRPr="000162AF">
          <w:rPr>
            <w:rStyle w:val="Hyperlink"/>
            <w:rFonts w:asciiTheme="majorHAnsi" w:hAnsiTheme="majorHAnsi"/>
            <w:sz w:val="18"/>
            <w:szCs w:val="18"/>
          </w:rPr>
          <w:t>Pharmacokinetics of vitamin D toxicity</w:t>
        </w:r>
      </w:hyperlink>
      <w:r w:rsidRPr="000162AF">
        <w:rPr>
          <w:rFonts w:asciiTheme="majorHAnsi" w:hAnsiTheme="majorHAnsi"/>
          <w:sz w:val="18"/>
          <w:szCs w:val="18"/>
        </w:rPr>
        <w:t xml:space="preserve">. Am J Clin Nutr. 2008 Aug; 88 (2): 582S-586S. </w:t>
      </w:r>
    </w:p>
    <w:p w:rsidR="00B276E7" w:rsidRPr="00B276E7" w:rsidRDefault="00044E4F" w:rsidP="00B276E7">
      <w:pPr>
        <w:pStyle w:val="normal0"/>
        <w:numPr>
          <w:ilvl w:val="0"/>
          <w:numId w:val="8"/>
        </w:numPr>
        <w:spacing w:after="0" w:line="240" w:lineRule="atLeast"/>
        <w:rPr>
          <w:rFonts w:asciiTheme="majorHAnsi" w:eastAsia="Arial Unicode MS" w:hAnsiTheme="majorHAnsi" w:cs="Times New Roman"/>
          <w:sz w:val="18"/>
          <w:szCs w:val="18"/>
        </w:rPr>
      </w:pPr>
      <w:r w:rsidRPr="00B276E7">
        <w:rPr>
          <w:rFonts w:asciiTheme="majorHAnsi" w:hAnsiTheme="majorHAnsi"/>
          <w:sz w:val="18"/>
          <w:szCs w:val="18"/>
        </w:rPr>
        <w:t xml:space="preserve">Heaney, R. P. </w:t>
      </w:r>
      <w:hyperlink r:id="rId30" w:tooltip="View reference" w:history="1">
        <w:r w:rsidRPr="00B276E7">
          <w:rPr>
            <w:rStyle w:val="Hyperlink"/>
            <w:rFonts w:asciiTheme="majorHAnsi" w:hAnsiTheme="majorHAnsi"/>
            <w:sz w:val="18"/>
            <w:szCs w:val="18"/>
          </w:rPr>
          <w:t>Vitamin D: criteria for safety and efficacy</w:t>
        </w:r>
      </w:hyperlink>
      <w:r w:rsidRPr="00B276E7">
        <w:rPr>
          <w:rFonts w:asciiTheme="majorHAnsi" w:hAnsiTheme="majorHAnsi"/>
          <w:sz w:val="18"/>
          <w:szCs w:val="18"/>
        </w:rPr>
        <w:t xml:space="preserve">. Nutr Rev. 2008 Oct; 66 (10 Suppl 2): S178-81. </w:t>
      </w:r>
    </w:p>
    <w:p w:rsidR="00B276E7" w:rsidRPr="00B276E7" w:rsidRDefault="00044E4F" w:rsidP="00B276E7">
      <w:pPr>
        <w:pStyle w:val="normal0"/>
        <w:numPr>
          <w:ilvl w:val="0"/>
          <w:numId w:val="8"/>
        </w:numPr>
        <w:spacing w:after="0" w:line="240" w:lineRule="atLeast"/>
        <w:rPr>
          <w:rFonts w:asciiTheme="majorHAnsi" w:eastAsia="Arial Unicode MS" w:hAnsiTheme="majorHAnsi" w:cs="Times New Roman"/>
          <w:sz w:val="18"/>
          <w:szCs w:val="18"/>
        </w:rPr>
      </w:pPr>
      <w:r w:rsidRPr="00B276E7">
        <w:rPr>
          <w:rFonts w:asciiTheme="majorHAnsi" w:hAnsiTheme="majorHAnsi"/>
          <w:sz w:val="18"/>
          <w:szCs w:val="18"/>
        </w:rPr>
        <w:t xml:space="preserve">Vieth, R. </w:t>
      </w:r>
      <w:hyperlink r:id="rId31" w:tooltip="View reference" w:history="1">
        <w:r w:rsidRPr="00B276E7">
          <w:rPr>
            <w:rStyle w:val="Hyperlink"/>
            <w:rFonts w:asciiTheme="majorHAnsi" w:hAnsiTheme="majorHAnsi"/>
            <w:sz w:val="18"/>
            <w:szCs w:val="18"/>
          </w:rPr>
          <w:t>Vitamin D toxicity, policy, and science</w:t>
        </w:r>
      </w:hyperlink>
      <w:r w:rsidRPr="00B276E7">
        <w:rPr>
          <w:rFonts w:asciiTheme="majorHAnsi" w:hAnsiTheme="majorHAnsi"/>
          <w:sz w:val="18"/>
          <w:szCs w:val="18"/>
        </w:rPr>
        <w:t xml:space="preserve">. J Bone Miner Res. 2007 Dec; 22 Suppl 2V64-8. </w:t>
      </w:r>
    </w:p>
    <w:p w:rsidR="00B276E7" w:rsidRPr="00B276E7" w:rsidRDefault="00044E4F" w:rsidP="00B276E7">
      <w:pPr>
        <w:pStyle w:val="normal0"/>
        <w:numPr>
          <w:ilvl w:val="0"/>
          <w:numId w:val="8"/>
        </w:numPr>
        <w:spacing w:after="0" w:line="240" w:lineRule="atLeast"/>
        <w:rPr>
          <w:rFonts w:asciiTheme="majorHAnsi" w:eastAsia="Arial Unicode MS" w:hAnsiTheme="majorHAnsi" w:cs="Times New Roman"/>
          <w:sz w:val="18"/>
          <w:szCs w:val="18"/>
        </w:rPr>
      </w:pPr>
      <w:r w:rsidRPr="00B276E7">
        <w:rPr>
          <w:rFonts w:asciiTheme="majorHAnsi" w:hAnsiTheme="majorHAnsi"/>
          <w:sz w:val="18"/>
          <w:szCs w:val="18"/>
        </w:rPr>
        <w:t xml:space="preserve">Vieth, R. </w:t>
      </w:r>
      <w:hyperlink r:id="rId32" w:tooltip="View reference" w:history="1">
        <w:r w:rsidRPr="00B276E7">
          <w:rPr>
            <w:rStyle w:val="Hyperlink"/>
            <w:rFonts w:asciiTheme="majorHAnsi" w:hAnsiTheme="majorHAnsi"/>
            <w:sz w:val="18"/>
            <w:szCs w:val="18"/>
          </w:rPr>
          <w:t>Critique of the considerations for establishing the tolerable upper intake level for vitamin D: critical need for revision upwards</w:t>
        </w:r>
      </w:hyperlink>
      <w:r w:rsidRPr="00B276E7">
        <w:rPr>
          <w:rFonts w:asciiTheme="majorHAnsi" w:hAnsiTheme="majorHAnsi"/>
          <w:sz w:val="18"/>
          <w:szCs w:val="18"/>
        </w:rPr>
        <w:t>. J Nutr. 2006 Apr; 136 (4): 1117-22</w:t>
      </w:r>
    </w:p>
    <w:p w:rsidR="00B276E7" w:rsidRPr="00B276E7" w:rsidRDefault="00044E4F" w:rsidP="00B276E7">
      <w:pPr>
        <w:pStyle w:val="normal0"/>
        <w:numPr>
          <w:ilvl w:val="0"/>
          <w:numId w:val="8"/>
        </w:numPr>
        <w:spacing w:after="0" w:line="240" w:lineRule="atLeast"/>
        <w:rPr>
          <w:rFonts w:asciiTheme="majorHAnsi" w:eastAsia="Arial Unicode MS" w:hAnsiTheme="majorHAnsi" w:cs="Times New Roman"/>
          <w:sz w:val="18"/>
          <w:szCs w:val="18"/>
        </w:rPr>
      </w:pPr>
      <w:r w:rsidRPr="00B276E7">
        <w:rPr>
          <w:rFonts w:asciiTheme="majorHAnsi" w:hAnsiTheme="majorHAnsi"/>
          <w:sz w:val="18"/>
          <w:szCs w:val="18"/>
        </w:rPr>
        <w:t xml:space="preserve">NIH Office of Dietary Supplements </w:t>
      </w:r>
      <w:hyperlink r:id="rId33" w:tooltip="View reference" w:history="1">
        <w:r w:rsidRPr="00B276E7">
          <w:rPr>
            <w:rStyle w:val="Hyperlink"/>
            <w:rFonts w:asciiTheme="majorHAnsi" w:hAnsiTheme="majorHAnsi"/>
            <w:sz w:val="18"/>
            <w:szCs w:val="18"/>
          </w:rPr>
          <w:t>Dietary Supplement Fact Sheet: Vitamin D</w:t>
        </w:r>
      </w:hyperlink>
      <w:r w:rsidRPr="00B276E7">
        <w:rPr>
          <w:rFonts w:asciiTheme="majorHAnsi" w:hAnsiTheme="majorHAnsi"/>
          <w:sz w:val="18"/>
          <w:szCs w:val="18"/>
        </w:rPr>
        <w:t xml:space="preserve">. 2009/11/13; </w:t>
      </w:r>
    </w:p>
    <w:p w:rsidR="00B276E7" w:rsidRPr="00B276E7" w:rsidRDefault="00044E4F" w:rsidP="00B276E7">
      <w:pPr>
        <w:pStyle w:val="normal0"/>
        <w:numPr>
          <w:ilvl w:val="0"/>
          <w:numId w:val="8"/>
        </w:numPr>
        <w:spacing w:after="0" w:line="240" w:lineRule="atLeast"/>
        <w:rPr>
          <w:rFonts w:asciiTheme="majorHAnsi" w:eastAsia="Arial Unicode MS" w:hAnsiTheme="majorHAnsi" w:cs="Times New Roman"/>
          <w:sz w:val="18"/>
          <w:szCs w:val="18"/>
        </w:rPr>
      </w:pPr>
      <w:r w:rsidRPr="00B276E7">
        <w:rPr>
          <w:rFonts w:asciiTheme="majorHAnsi" w:hAnsiTheme="majorHAnsi"/>
          <w:sz w:val="18"/>
          <w:szCs w:val="18"/>
        </w:rPr>
        <w:t xml:space="preserve">Deluca, H. F. Prahl, J. M. Plum, L. A. </w:t>
      </w:r>
      <w:hyperlink r:id="rId34" w:tooltip="View reference" w:history="1">
        <w:r w:rsidRPr="00B276E7">
          <w:rPr>
            <w:rStyle w:val="Hyperlink"/>
            <w:rFonts w:asciiTheme="majorHAnsi" w:hAnsiTheme="majorHAnsi"/>
            <w:sz w:val="18"/>
            <w:szCs w:val="18"/>
          </w:rPr>
          <w:t>1,25-Dihydroxyvitamin D is not responsible for toxicity caused by vitamin D or 25-hydroxyvitamin D</w:t>
        </w:r>
      </w:hyperlink>
      <w:r w:rsidRPr="00B276E7">
        <w:rPr>
          <w:rFonts w:asciiTheme="majorHAnsi" w:hAnsiTheme="majorHAnsi"/>
          <w:sz w:val="18"/>
          <w:szCs w:val="18"/>
        </w:rPr>
        <w:t xml:space="preserve">. Arch Biochem Biophys. 2010 Oct 18; </w:t>
      </w:r>
    </w:p>
    <w:p w:rsidR="00B276E7" w:rsidRPr="00B276E7" w:rsidRDefault="00B276E7" w:rsidP="00B276E7">
      <w:pPr>
        <w:pStyle w:val="normal0"/>
        <w:numPr>
          <w:ilvl w:val="0"/>
          <w:numId w:val="8"/>
        </w:numPr>
        <w:spacing w:after="0" w:line="240" w:lineRule="atLeast"/>
        <w:rPr>
          <w:rFonts w:asciiTheme="majorHAnsi" w:eastAsia="Arial Unicode MS" w:hAnsiTheme="majorHAnsi" w:cs="Times New Roman"/>
          <w:sz w:val="18"/>
          <w:szCs w:val="18"/>
        </w:rPr>
      </w:pPr>
      <w:r w:rsidRPr="00B276E7">
        <w:rPr>
          <w:rFonts w:asciiTheme="majorHAnsi" w:eastAsia="NEJMQuadraat-Regular" w:hAnsiTheme="majorHAnsi"/>
          <w:sz w:val="18"/>
          <w:szCs w:val="18"/>
          <w:lang w:val="da-DK"/>
        </w:rPr>
        <w:t xml:space="preserve">Schroeder KW, Tremaine WJ, Ilstrup DM. </w:t>
      </w:r>
      <w:r w:rsidRPr="00B276E7">
        <w:rPr>
          <w:rFonts w:asciiTheme="majorHAnsi" w:eastAsia="NEJMQuadraat-Regular" w:hAnsiTheme="majorHAnsi"/>
          <w:sz w:val="18"/>
          <w:szCs w:val="18"/>
        </w:rPr>
        <w:t>Coated oral 5-aminosalicylic acid therapy for mildly to moderately active ulcerative colitis: a randomized study. N Engl J Med 1987;317:1625-9.</w:t>
      </w:r>
    </w:p>
    <w:p w:rsidR="00B276E7" w:rsidRPr="00B276E7" w:rsidRDefault="00B276E7" w:rsidP="00B276E7">
      <w:pPr>
        <w:pStyle w:val="normal0"/>
        <w:numPr>
          <w:ilvl w:val="0"/>
          <w:numId w:val="8"/>
        </w:numPr>
        <w:spacing w:after="0" w:line="240" w:lineRule="atLeast"/>
        <w:rPr>
          <w:rFonts w:asciiTheme="majorHAnsi" w:eastAsia="Arial Unicode MS" w:hAnsiTheme="majorHAnsi" w:cs="Times New Roman"/>
          <w:sz w:val="18"/>
          <w:szCs w:val="18"/>
        </w:rPr>
      </w:pPr>
      <w:r w:rsidRPr="00B276E7">
        <w:rPr>
          <w:rStyle w:val="citation"/>
          <w:rFonts w:asciiTheme="majorHAnsi" w:hAnsiTheme="majorHAnsi"/>
          <w:sz w:val="18"/>
          <w:szCs w:val="18"/>
        </w:rPr>
        <w:t xml:space="preserve">Best WR, Becktel JM, Singleton JW, Kern F Jr. (Mar 1976). "Development of a Crohn's disease activity index. National Cooperative Crohn's Disease Study". </w:t>
      </w:r>
      <w:r w:rsidRPr="00B276E7">
        <w:rPr>
          <w:rStyle w:val="citation"/>
          <w:rFonts w:asciiTheme="majorHAnsi" w:hAnsiTheme="majorHAnsi"/>
          <w:i/>
          <w:iCs/>
          <w:sz w:val="18"/>
          <w:szCs w:val="18"/>
        </w:rPr>
        <w:t>Gastroenterology</w:t>
      </w:r>
      <w:r w:rsidRPr="00B276E7">
        <w:rPr>
          <w:rStyle w:val="citation"/>
          <w:rFonts w:asciiTheme="majorHAnsi" w:hAnsiTheme="majorHAnsi"/>
          <w:sz w:val="18"/>
          <w:szCs w:val="18"/>
        </w:rPr>
        <w:t xml:space="preserve"> </w:t>
      </w:r>
      <w:r w:rsidRPr="00B276E7">
        <w:rPr>
          <w:rStyle w:val="citation"/>
          <w:rFonts w:asciiTheme="majorHAnsi" w:hAnsiTheme="majorHAnsi"/>
          <w:b/>
          <w:bCs/>
          <w:sz w:val="18"/>
          <w:szCs w:val="18"/>
        </w:rPr>
        <w:t>70</w:t>
      </w:r>
      <w:r w:rsidRPr="00B276E7">
        <w:rPr>
          <w:rStyle w:val="citation"/>
          <w:rFonts w:asciiTheme="majorHAnsi" w:hAnsiTheme="majorHAnsi"/>
          <w:sz w:val="18"/>
          <w:szCs w:val="18"/>
        </w:rPr>
        <w:t xml:space="preserve"> (3): 439–444. </w:t>
      </w:r>
    </w:p>
    <w:p w:rsidR="00B276E7" w:rsidRPr="00B276E7" w:rsidRDefault="00B276E7" w:rsidP="00B276E7">
      <w:pPr>
        <w:spacing w:before="100" w:beforeAutospacing="1" w:after="100" w:afterAutospacing="1"/>
        <w:ind w:left="360"/>
        <w:rPr>
          <w:rFonts w:asciiTheme="majorHAnsi" w:hAnsiTheme="majorHAnsi"/>
          <w:sz w:val="18"/>
          <w:szCs w:val="18"/>
        </w:rPr>
      </w:pPr>
    </w:p>
    <w:p w:rsidR="009716A4" w:rsidRDefault="009716A4" w:rsidP="009716A4">
      <w:pPr>
        <w:rPr>
          <w:rFonts w:cs="Times New Roman"/>
        </w:rPr>
      </w:pPr>
    </w:p>
    <w:p w:rsidR="009716A4" w:rsidRDefault="009716A4" w:rsidP="009716A4">
      <w:pPr>
        <w:rPr>
          <w:rFonts w:cs="Times New Roman"/>
        </w:rPr>
      </w:pPr>
    </w:p>
    <w:p w:rsidR="009716A4" w:rsidRDefault="009716A4" w:rsidP="009716A4">
      <w:pPr>
        <w:autoSpaceDE w:val="0"/>
        <w:autoSpaceDN w:val="0"/>
        <w:adjustRightInd w:val="0"/>
        <w:rPr>
          <w:rFonts w:cs="Times New Roman"/>
          <w:b/>
          <w:bCs/>
        </w:rPr>
      </w:pPr>
    </w:p>
    <w:p w:rsidR="009716A4" w:rsidRDefault="009716A4" w:rsidP="009716A4">
      <w:pPr>
        <w:autoSpaceDE w:val="0"/>
        <w:autoSpaceDN w:val="0"/>
        <w:adjustRightInd w:val="0"/>
        <w:rPr>
          <w:rFonts w:cs="Times New Roman"/>
          <w:b/>
          <w:bCs/>
        </w:rPr>
      </w:pPr>
    </w:p>
    <w:p w:rsidR="009716A4" w:rsidRDefault="009716A4" w:rsidP="009716A4">
      <w:pPr>
        <w:autoSpaceDE w:val="0"/>
        <w:autoSpaceDN w:val="0"/>
        <w:adjustRightInd w:val="0"/>
        <w:rPr>
          <w:rFonts w:cs="Times New Roman"/>
          <w:b/>
          <w:bCs/>
        </w:rPr>
      </w:pPr>
    </w:p>
    <w:p w:rsidR="009716A4" w:rsidRDefault="009716A4" w:rsidP="009716A4">
      <w:pPr>
        <w:rPr>
          <w:rFonts w:cs="Times New Roman"/>
        </w:rPr>
      </w:pPr>
    </w:p>
    <w:p w:rsidR="009716A4" w:rsidRDefault="009716A4" w:rsidP="009716A4">
      <w:pPr>
        <w:rPr>
          <w:rFonts w:cs="Times New Roman"/>
        </w:rPr>
      </w:pPr>
    </w:p>
    <w:p w:rsidR="009716A4" w:rsidRDefault="009716A4" w:rsidP="009716A4">
      <w:pPr>
        <w:rPr>
          <w:rFonts w:cs="Times New Roman"/>
        </w:rPr>
      </w:pPr>
    </w:p>
    <w:p w:rsidR="009716A4" w:rsidRDefault="009716A4" w:rsidP="009716A4">
      <w:pPr>
        <w:rPr>
          <w:rFonts w:cs="Times New Roman"/>
        </w:rPr>
      </w:pPr>
    </w:p>
    <w:p w:rsidR="009716A4" w:rsidRDefault="009716A4" w:rsidP="009716A4">
      <w:pPr>
        <w:rPr>
          <w:rFonts w:cs="Times New Roman"/>
        </w:rPr>
      </w:pPr>
    </w:p>
    <w:p w:rsidR="009716A4" w:rsidRDefault="009716A4" w:rsidP="009716A4">
      <w:pPr>
        <w:rPr>
          <w:rFonts w:cs="Times New Roman"/>
        </w:rPr>
      </w:pPr>
    </w:p>
    <w:p w:rsidR="009716A4" w:rsidRDefault="009716A4" w:rsidP="009716A4">
      <w:pPr>
        <w:rPr>
          <w:rFonts w:cs="Times New Roman"/>
        </w:rPr>
      </w:pPr>
    </w:p>
    <w:p w:rsidR="009716A4" w:rsidRDefault="009716A4" w:rsidP="009716A4">
      <w:pPr>
        <w:rPr>
          <w:rFonts w:cs="Times New Roman"/>
        </w:rPr>
      </w:pPr>
    </w:p>
    <w:p w:rsidR="009716A4" w:rsidRDefault="009716A4" w:rsidP="009716A4">
      <w:pPr>
        <w:rPr>
          <w:u w:val="single"/>
        </w:rPr>
      </w:pPr>
    </w:p>
    <w:p w:rsidR="002B283B" w:rsidRDefault="002B283B"/>
    <w:sectPr w:rsidR="002B283B" w:rsidSect="002B283B">
      <w:footerReference w:type="default" r:id="rId35"/>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1D9" w:rsidRDefault="00DC71D9" w:rsidP="0084667F">
      <w:r>
        <w:separator/>
      </w:r>
    </w:p>
  </w:endnote>
  <w:endnote w:type="continuationSeparator" w:id="0">
    <w:p w:rsidR="00DC71D9" w:rsidRDefault="00DC71D9" w:rsidP="0084667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
    <w:altName w:val="ＭＳ 明朝"/>
    <w:panose1 w:val="00000000000000000000"/>
    <w:charset w:val="80"/>
    <w:family w:val="auto"/>
    <w:notTrueType/>
    <w:pitch w:val="variable"/>
    <w:sig w:usb0="00000001" w:usb1="08070000" w:usb2="00000010" w:usb3="00000000" w:csb0="00020000" w:csb1="00000000"/>
  </w:font>
  <w:font w:name="MS ????">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NEJMScalaSansLF-Regula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NEJMQuadraat-Regular">
    <w:altName w:val="MS Mincho"/>
    <w:panose1 w:val="00000000000000000000"/>
    <w:charset w:val="80"/>
    <w:family w:val="auto"/>
    <w:notTrueType/>
    <w:pitch w:val="default"/>
    <w:sig w:usb0="00000001" w:usb1="08070000" w:usb2="00000010" w:usb3="00000000" w:csb0="00020000" w:csb1="00000000"/>
  </w:font>
  <w:font w:name="AdvTT9bd21c25.I">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4233"/>
      <w:docPartObj>
        <w:docPartGallery w:val="Page Numbers (Bottom of Page)"/>
        <w:docPartUnique/>
      </w:docPartObj>
    </w:sdtPr>
    <w:sdtContent>
      <w:p w:rsidR="00DC71D9" w:rsidRDefault="00F50B22">
        <w:pPr>
          <w:pStyle w:val="Footer"/>
          <w:jc w:val="right"/>
        </w:pPr>
        <w:fldSimple w:instr=" PAGE   \* MERGEFORMAT ">
          <w:r w:rsidR="00766EFF">
            <w:rPr>
              <w:noProof/>
            </w:rPr>
            <w:t>14</w:t>
          </w:r>
        </w:fldSimple>
      </w:p>
    </w:sdtContent>
  </w:sdt>
  <w:p w:rsidR="00DC71D9" w:rsidRDefault="00DC71D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1D9" w:rsidRDefault="00DC71D9" w:rsidP="0084667F">
      <w:r>
        <w:separator/>
      </w:r>
    </w:p>
  </w:footnote>
  <w:footnote w:type="continuationSeparator" w:id="0">
    <w:p w:rsidR="00DC71D9" w:rsidRDefault="00DC71D9" w:rsidP="0084667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C76"/>
    <w:multiLevelType w:val="hybridMultilevel"/>
    <w:tmpl w:val="A9082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B324EB"/>
    <w:multiLevelType w:val="multilevel"/>
    <w:tmpl w:val="E7D44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C7974"/>
    <w:multiLevelType w:val="hybridMultilevel"/>
    <w:tmpl w:val="381AC7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7E3CEA"/>
    <w:multiLevelType w:val="hybridMultilevel"/>
    <w:tmpl w:val="3C64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F21B7"/>
    <w:multiLevelType w:val="hybridMultilevel"/>
    <w:tmpl w:val="E5D80EFA"/>
    <w:lvl w:ilvl="0" w:tplc="016A7F96">
      <w:start w:val="1"/>
      <w:numFmt w:val="decimal"/>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B01AF0"/>
    <w:multiLevelType w:val="multilevel"/>
    <w:tmpl w:val="1940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823D2"/>
    <w:multiLevelType w:val="hybridMultilevel"/>
    <w:tmpl w:val="C6F40BD6"/>
    <w:lvl w:ilvl="0" w:tplc="04090001">
      <w:start w:val="1"/>
      <w:numFmt w:val="bullet"/>
      <w:lvlText w:val=""/>
      <w:lvlJc w:val="left"/>
      <w:pPr>
        <w:ind w:left="720" w:hanging="360"/>
      </w:pPr>
      <w:rPr>
        <w:rFonts w:ascii="Symbol" w:hAnsi="Symbol" w:cs="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B6504F5"/>
    <w:multiLevelType w:val="multilevel"/>
    <w:tmpl w:val="B904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64534C"/>
    <w:multiLevelType w:val="multilevel"/>
    <w:tmpl w:val="AE3CC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7D2FC9"/>
    <w:multiLevelType w:val="hybridMultilevel"/>
    <w:tmpl w:val="B960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C2474"/>
    <w:multiLevelType w:val="hybridMultilevel"/>
    <w:tmpl w:val="5F06EA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FE4F50"/>
    <w:multiLevelType w:val="hybridMultilevel"/>
    <w:tmpl w:val="E92019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E726BCF"/>
    <w:multiLevelType w:val="multilevel"/>
    <w:tmpl w:val="579C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3C3A3A"/>
    <w:multiLevelType w:val="hybridMultilevel"/>
    <w:tmpl w:val="9B98880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4">
    <w:nsid w:val="549D4498"/>
    <w:multiLevelType w:val="hybridMultilevel"/>
    <w:tmpl w:val="98C082E0"/>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5">
    <w:nsid w:val="57AF2977"/>
    <w:multiLevelType w:val="hybridMultilevel"/>
    <w:tmpl w:val="4ED24794"/>
    <w:lvl w:ilvl="0" w:tplc="8870D5B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BC95848"/>
    <w:multiLevelType w:val="hybridMultilevel"/>
    <w:tmpl w:val="2472A6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1"/>
  </w:num>
  <w:num w:numId="2">
    <w:abstractNumId w:val="16"/>
  </w:num>
  <w:num w:numId="3">
    <w:abstractNumId w:val="2"/>
  </w:num>
  <w:num w:numId="4">
    <w:abstractNumId w:val="6"/>
  </w:num>
  <w:num w:numId="5">
    <w:abstractNumId w:val="13"/>
  </w:num>
  <w:num w:numId="6">
    <w:abstractNumId w:val="14"/>
  </w:num>
  <w:num w:numId="7">
    <w:abstractNumId w:val="15"/>
  </w:num>
  <w:num w:numId="8">
    <w:abstractNumId w:val="4"/>
  </w:num>
  <w:num w:numId="9">
    <w:abstractNumId w:val="9"/>
  </w:num>
  <w:num w:numId="10">
    <w:abstractNumId w:val="12"/>
  </w:num>
  <w:num w:numId="11">
    <w:abstractNumId w:val="7"/>
  </w:num>
  <w:num w:numId="12">
    <w:abstractNumId w:val="5"/>
  </w:num>
  <w:num w:numId="13">
    <w:abstractNumId w:val="10"/>
  </w:num>
  <w:num w:numId="14">
    <w:abstractNumId w:val="3"/>
  </w:num>
  <w:num w:numId="15">
    <w:abstractNumId w:val="0"/>
  </w:num>
  <w:num w:numId="16">
    <w:abstractNumId w:val="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footnotePr>
    <w:footnote w:id="-1"/>
    <w:footnote w:id="0"/>
  </w:footnotePr>
  <w:endnotePr>
    <w:endnote w:id="-1"/>
    <w:endnote w:id="0"/>
  </w:endnotePr>
  <w:compat/>
  <w:rsids>
    <w:rsidRoot w:val="009716A4"/>
    <w:rsid w:val="000162AF"/>
    <w:rsid w:val="00044E4F"/>
    <w:rsid w:val="00045A20"/>
    <w:rsid w:val="0007045C"/>
    <w:rsid w:val="00094F0B"/>
    <w:rsid w:val="000B7049"/>
    <w:rsid w:val="000E004E"/>
    <w:rsid w:val="0011411A"/>
    <w:rsid w:val="00141D4D"/>
    <w:rsid w:val="00144E35"/>
    <w:rsid w:val="00162081"/>
    <w:rsid w:val="001832EC"/>
    <w:rsid w:val="0021071F"/>
    <w:rsid w:val="00213332"/>
    <w:rsid w:val="00234044"/>
    <w:rsid w:val="00261E82"/>
    <w:rsid w:val="002761E0"/>
    <w:rsid w:val="00285190"/>
    <w:rsid w:val="002B283B"/>
    <w:rsid w:val="003B0D86"/>
    <w:rsid w:val="003E7E3E"/>
    <w:rsid w:val="00403F9B"/>
    <w:rsid w:val="00443EE7"/>
    <w:rsid w:val="004B1A43"/>
    <w:rsid w:val="00507247"/>
    <w:rsid w:val="00517CE5"/>
    <w:rsid w:val="00526E32"/>
    <w:rsid w:val="005424A8"/>
    <w:rsid w:val="00582374"/>
    <w:rsid w:val="00593A27"/>
    <w:rsid w:val="00596692"/>
    <w:rsid w:val="005E4B52"/>
    <w:rsid w:val="005F3F40"/>
    <w:rsid w:val="00626ECE"/>
    <w:rsid w:val="007615B1"/>
    <w:rsid w:val="00766EFF"/>
    <w:rsid w:val="007843DA"/>
    <w:rsid w:val="007E7BF4"/>
    <w:rsid w:val="00803BF2"/>
    <w:rsid w:val="0084667F"/>
    <w:rsid w:val="00851253"/>
    <w:rsid w:val="008B666D"/>
    <w:rsid w:val="008C517A"/>
    <w:rsid w:val="008E3B21"/>
    <w:rsid w:val="00955333"/>
    <w:rsid w:val="009716A4"/>
    <w:rsid w:val="009E2D21"/>
    <w:rsid w:val="00A12F4D"/>
    <w:rsid w:val="00A431D5"/>
    <w:rsid w:val="00AD156C"/>
    <w:rsid w:val="00B026E2"/>
    <w:rsid w:val="00B113DD"/>
    <w:rsid w:val="00B276E7"/>
    <w:rsid w:val="00B42373"/>
    <w:rsid w:val="00B53922"/>
    <w:rsid w:val="00BD41FA"/>
    <w:rsid w:val="00C2718D"/>
    <w:rsid w:val="00C34AC2"/>
    <w:rsid w:val="00DB5382"/>
    <w:rsid w:val="00DB5F31"/>
    <w:rsid w:val="00DC71D9"/>
    <w:rsid w:val="00DE55F5"/>
    <w:rsid w:val="00E20692"/>
    <w:rsid w:val="00ED4177"/>
    <w:rsid w:val="00F017D4"/>
    <w:rsid w:val="00F32BB5"/>
    <w:rsid w:val="00F50B22"/>
  </w:rsids>
  <m:mathPr>
    <m:mathFont m:val="@ＭＳ 明朝"/>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A4"/>
    <w:pPr>
      <w:spacing w:after="0" w:line="240" w:lineRule="auto"/>
    </w:pPr>
    <w:rPr>
      <w:rFonts w:ascii="Cambria" w:eastAsia="MS ??" w:hAnsi="Cambria" w:cs="Cambria"/>
      <w:sz w:val="24"/>
      <w:szCs w:val="24"/>
    </w:rPr>
  </w:style>
  <w:style w:type="paragraph" w:styleId="Heading4">
    <w:name w:val="heading 4"/>
    <w:basedOn w:val="Normal"/>
    <w:next w:val="Normal"/>
    <w:link w:val="Heading4Char"/>
    <w:uiPriority w:val="99"/>
    <w:qFormat/>
    <w:rsid w:val="009716A4"/>
    <w:pPr>
      <w:keepNext/>
      <w:keepLines/>
      <w:spacing w:before="200"/>
      <w:outlineLvl w:val="3"/>
    </w:pPr>
    <w:rPr>
      <w:rFonts w:ascii="Calibri" w:eastAsia="MS ????" w:hAnsi="Calibri" w:cs="Calibri"/>
      <w:b/>
      <w:bCs/>
      <w:i/>
      <w:iCs/>
      <w:color w:val="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9716A4"/>
    <w:pPr>
      <w:ind w:left="720"/>
    </w:pPr>
  </w:style>
  <w:style w:type="paragraph" w:customStyle="1" w:styleId="normal0">
    <w:name w:val="normal"/>
    <w:basedOn w:val="Normal"/>
    <w:uiPriority w:val="99"/>
    <w:rsid w:val="009716A4"/>
    <w:pPr>
      <w:spacing w:after="200" w:line="260" w:lineRule="atLeast"/>
    </w:pPr>
    <w:rPr>
      <w:rFonts w:ascii="Calibri" w:hAnsi="Calibri" w:cs="Calibri"/>
      <w:sz w:val="22"/>
      <w:szCs w:val="22"/>
    </w:rPr>
  </w:style>
  <w:style w:type="character" w:customStyle="1" w:styleId="normalchar1">
    <w:name w:val="normal__char1"/>
    <w:basedOn w:val="DefaultParagraphFont"/>
    <w:uiPriority w:val="99"/>
    <w:rsid w:val="009716A4"/>
    <w:rPr>
      <w:rFonts w:ascii="Calibri" w:hAnsi="Calibri" w:cs="Calibri"/>
      <w:sz w:val="22"/>
      <w:szCs w:val="22"/>
    </w:rPr>
  </w:style>
  <w:style w:type="character" w:customStyle="1" w:styleId="Heading4Char">
    <w:name w:val="Heading 4 Char"/>
    <w:basedOn w:val="DefaultParagraphFont"/>
    <w:link w:val="Heading4"/>
    <w:uiPriority w:val="99"/>
    <w:rsid w:val="009716A4"/>
    <w:rPr>
      <w:rFonts w:ascii="Calibri" w:eastAsia="MS ????" w:hAnsi="Calibri" w:cs="Calibri"/>
      <w:b/>
      <w:bCs/>
      <w:i/>
      <w:iCs/>
      <w:color w:val="4F81BD"/>
      <w:sz w:val="24"/>
      <w:szCs w:val="24"/>
    </w:rPr>
  </w:style>
  <w:style w:type="character" w:styleId="Hyperlink">
    <w:name w:val="Hyperlink"/>
    <w:basedOn w:val="DefaultParagraphFont"/>
    <w:rsid w:val="009716A4"/>
    <w:rPr>
      <w:color w:val="0000FF"/>
      <w:u w:val="single"/>
    </w:rPr>
  </w:style>
  <w:style w:type="character" w:customStyle="1" w:styleId="citation">
    <w:name w:val="citation"/>
    <w:basedOn w:val="DefaultParagraphFont"/>
    <w:uiPriority w:val="99"/>
    <w:rsid w:val="009716A4"/>
  </w:style>
  <w:style w:type="paragraph" w:customStyle="1" w:styleId="list0020paragraph">
    <w:name w:val="list_0020paragraph"/>
    <w:basedOn w:val="Normal"/>
    <w:uiPriority w:val="99"/>
    <w:rsid w:val="009716A4"/>
    <w:pPr>
      <w:ind w:left="720"/>
    </w:pPr>
  </w:style>
  <w:style w:type="character" w:customStyle="1" w:styleId="list0020paragraphchar1">
    <w:name w:val="list_0020paragraph__char1"/>
    <w:basedOn w:val="DefaultParagraphFont"/>
    <w:uiPriority w:val="99"/>
    <w:rsid w:val="009716A4"/>
    <w:rPr>
      <w:rFonts w:ascii="Cambria" w:hAnsi="Cambria" w:cs="Cambria"/>
      <w:sz w:val="24"/>
      <w:szCs w:val="24"/>
    </w:rPr>
  </w:style>
  <w:style w:type="paragraph" w:styleId="Header">
    <w:name w:val="header"/>
    <w:basedOn w:val="Normal"/>
    <w:link w:val="HeaderChar"/>
    <w:uiPriority w:val="99"/>
    <w:semiHidden/>
    <w:unhideWhenUsed/>
    <w:rsid w:val="0084667F"/>
    <w:pPr>
      <w:tabs>
        <w:tab w:val="center" w:pos="4680"/>
        <w:tab w:val="right" w:pos="9360"/>
      </w:tabs>
    </w:pPr>
  </w:style>
  <w:style w:type="character" w:customStyle="1" w:styleId="HeaderChar">
    <w:name w:val="Header Char"/>
    <w:basedOn w:val="DefaultParagraphFont"/>
    <w:link w:val="Header"/>
    <w:uiPriority w:val="99"/>
    <w:semiHidden/>
    <w:rsid w:val="0084667F"/>
    <w:rPr>
      <w:rFonts w:ascii="Cambria" w:eastAsia="MS ??" w:hAnsi="Cambria" w:cs="Cambria"/>
      <w:sz w:val="24"/>
      <w:szCs w:val="24"/>
    </w:rPr>
  </w:style>
  <w:style w:type="paragraph" w:styleId="Footer">
    <w:name w:val="footer"/>
    <w:basedOn w:val="Normal"/>
    <w:link w:val="FooterChar"/>
    <w:uiPriority w:val="99"/>
    <w:unhideWhenUsed/>
    <w:rsid w:val="0084667F"/>
    <w:pPr>
      <w:tabs>
        <w:tab w:val="center" w:pos="4680"/>
        <w:tab w:val="right" w:pos="9360"/>
      </w:tabs>
    </w:pPr>
  </w:style>
  <w:style w:type="character" w:customStyle="1" w:styleId="FooterChar">
    <w:name w:val="Footer Char"/>
    <w:basedOn w:val="DefaultParagraphFont"/>
    <w:link w:val="Footer"/>
    <w:uiPriority w:val="99"/>
    <w:rsid w:val="0084667F"/>
    <w:rPr>
      <w:rFonts w:ascii="Cambria" w:eastAsia="MS ??" w:hAnsi="Cambria" w:cs="Cambria"/>
      <w:sz w:val="24"/>
      <w:szCs w:val="24"/>
    </w:rPr>
  </w:style>
  <w:style w:type="paragraph" w:styleId="NormalWeb">
    <w:name w:val="Normal (Web)"/>
    <w:basedOn w:val="Normal"/>
    <w:uiPriority w:val="99"/>
    <w:rsid w:val="00DC71D9"/>
    <w:pPr>
      <w:spacing w:before="100" w:beforeAutospacing="1" w:after="100" w:afterAutospacing="1"/>
    </w:pPr>
    <w:rPr>
      <w:rFonts w:ascii="Arial" w:eastAsia="Times New Roman" w:hAnsi="Arial" w:cs="Arial"/>
      <w:color w:val="4D4D4D"/>
      <w:sz w:val="18"/>
      <w:szCs w:val="18"/>
    </w:rPr>
  </w:style>
  <w:style w:type="character" w:customStyle="1" w:styleId="header-a1">
    <w:name w:val="header-a1"/>
    <w:basedOn w:val="DefaultParagraphFont"/>
    <w:rsid w:val="00DC71D9"/>
    <w:rPr>
      <w:rFonts w:ascii="Arial" w:hAnsi="Arial" w:cs="Arial" w:hint="default"/>
      <w:b/>
      <w:bCs/>
      <w:color w:val="000000"/>
      <w:sz w:val="21"/>
      <w:szCs w:val="21"/>
    </w:rPr>
  </w:style>
  <w:style w:type="paragraph" w:styleId="BalloonText">
    <w:name w:val="Balloon Text"/>
    <w:basedOn w:val="Normal"/>
    <w:link w:val="BalloonTextChar"/>
    <w:uiPriority w:val="99"/>
    <w:semiHidden/>
    <w:unhideWhenUsed/>
    <w:rsid w:val="00DC71D9"/>
    <w:rPr>
      <w:rFonts w:ascii="Tahoma" w:hAnsi="Tahoma" w:cs="Tahoma"/>
      <w:sz w:val="16"/>
      <w:szCs w:val="16"/>
    </w:rPr>
  </w:style>
  <w:style w:type="character" w:customStyle="1" w:styleId="BalloonTextChar">
    <w:name w:val="Balloon Text Char"/>
    <w:basedOn w:val="DefaultParagraphFont"/>
    <w:link w:val="BalloonText"/>
    <w:uiPriority w:val="99"/>
    <w:semiHidden/>
    <w:rsid w:val="00DC71D9"/>
    <w:rPr>
      <w:rFonts w:ascii="Tahoma" w:eastAsia="MS ??"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A4"/>
    <w:pPr>
      <w:spacing w:after="0" w:line="240" w:lineRule="auto"/>
    </w:pPr>
    <w:rPr>
      <w:rFonts w:ascii="Cambria" w:eastAsia="MS ??" w:hAnsi="Cambria" w:cs="Cambria"/>
      <w:sz w:val="24"/>
      <w:szCs w:val="24"/>
    </w:rPr>
  </w:style>
  <w:style w:type="paragraph" w:styleId="Heading4">
    <w:name w:val="heading 4"/>
    <w:basedOn w:val="Normal"/>
    <w:next w:val="Normal"/>
    <w:link w:val="Heading4Char"/>
    <w:uiPriority w:val="99"/>
    <w:qFormat/>
    <w:rsid w:val="009716A4"/>
    <w:pPr>
      <w:keepNext/>
      <w:keepLines/>
      <w:spacing w:before="200"/>
      <w:outlineLvl w:val="3"/>
    </w:pPr>
    <w:rPr>
      <w:rFonts w:ascii="Calibri" w:eastAsia="MS ????" w:hAnsi="Calibri" w:cs="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16A4"/>
    <w:pPr>
      <w:ind w:left="720"/>
    </w:pPr>
  </w:style>
  <w:style w:type="paragraph" w:customStyle="1" w:styleId="normal0">
    <w:name w:val="normal"/>
    <w:basedOn w:val="Normal"/>
    <w:uiPriority w:val="99"/>
    <w:rsid w:val="009716A4"/>
    <w:pPr>
      <w:spacing w:after="200" w:line="260" w:lineRule="atLeast"/>
    </w:pPr>
    <w:rPr>
      <w:rFonts w:ascii="Calibri" w:hAnsi="Calibri" w:cs="Calibri"/>
      <w:sz w:val="22"/>
      <w:szCs w:val="22"/>
    </w:rPr>
  </w:style>
  <w:style w:type="character" w:customStyle="1" w:styleId="normalchar1">
    <w:name w:val="normal__char1"/>
    <w:basedOn w:val="DefaultParagraphFont"/>
    <w:uiPriority w:val="99"/>
    <w:rsid w:val="009716A4"/>
    <w:rPr>
      <w:rFonts w:ascii="Calibri" w:hAnsi="Calibri" w:cs="Calibri"/>
      <w:sz w:val="22"/>
      <w:szCs w:val="22"/>
    </w:rPr>
  </w:style>
  <w:style w:type="character" w:customStyle="1" w:styleId="Heading4Char">
    <w:name w:val="Heading 4 Char"/>
    <w:basedOn w:val="DefaultParagraphFont"/>
    <w:link w:val="Heading4"/>
    <w:uiPriority w:val="99"/>
    <w:rsid w:val="009716A4"/>
    <w:rPr>
      <w:rFonts w:ascii="Calibri" w:eastAsia="MS ????" w:hAnsi="Calibri" w:cs="Calibri"/>
      <w:b/>
      <w:bCs/>
      <w:i/>
      <w:iCs/>
      <w:color w:val="4F81BD"/>
      <w:sz w:val="24"/>
      <w:szCs w:val="24"/>
    </w:rPr>
  </w:style>
  <w:style w:type="character" w:styleId="Hyperlink">
    <w:name w:val="Hyperlink"/>
    <w:basedOn w:val="DefaultParagraphFont"/>
    <w:uiPriority w:val="99"/>
    <w:semiHidden/>
    <w:rsid w:val="009716A4"/>
    <w:rPr>
      <w:color w:val="0000FF"/>
      <w:u w:val="single"/>
    </w:rPr>
  </w:style>
  <w:style w:type="character" w:customStyle="1" w:styleId="citation">
    <w:name w:val="citation"/>
    <w:basedOn w:val="DefaultParagraphFont"/>
    <w:uiPriority w:val="99"/>
    <w:rsid w:val="009716A4"/>
  </w:style>
  <w:style w:type="paragraph" w:customStyle="1" w:styleId="list0020paragraph">
    <w:name w:val="list_0020paragraph"/>
    <w:basedOn w:val="Normal"/>
    <w:uiPriority w:val="99"/>
    <w:rsid w:val="009716A4"/>
    <w:pPr>
      <w:ind w:left="720"/>
    </w:pPr>
  </w:style>
  <w:style w:type="character" w:customStyle="1" w:styleId="list0020paragraphchar1">
    <w:name w:val="list_0020paragraph__char1"/>
    <w:basedOn w:val="DefaultParagraphFont"/>
    <w:uiPriority w:val="99"/>
    <w:rsid w:val="009716A4"/>
    <w:rPr>
      <w:rFonts w:ascii="Cambria" w:hAnsi="Cambria" w:cs="Cambria"/>
      <w:sz w:val="24"/>
      <w:szCs w:val="24"/>
    </w:rPr>
  </w:style>
  <w:style w:type="paragraph" w:styleId="Header">
    <w:name w:val="header"/>
    <w:basedOn w:val="Normal"/>
    <w:link w:val="HeaderChar"/>
    <w:uiPriority w:val="99"/>
    <w:semiHidden/>
    <w:unhideWhenUsed/>
    <w:rsid w:val="0084667F"/>
    <w:pPr>
      <w:tabs>
        <w:tab w:val="center" w:pos="4680"/>
        <w:tab w:val="right" w:pos="9360"/>
      </w:tabs>
    </w:pPr>
  </w:style>
  <w:style w:type="character" w:customStyle="1" w:styleId="HeaderChar">
    <w:name w:val="Header Char"/>
    <w:basedOn w:val="DefaultParagraphFont"/>
    <w:link w:val="Header"/>
    <w:uiPriority w:val="99"/>
    <w:semiHidden/>
    <w:rsid w:val="0084667F"/>
    <w:rPr>
      <w:rFonts w:ascii="Cambria" w:eastAsia="MS ??" w:hAnsi="Cambria" w:cs="Cambria"/>
      <w:sz w:val="24"/>
      <w:szCs w:val="24"/>
    </w:rPr>
  </w:style>
  <w:style w:type="paragraph" w:styleId="Footer">
    <w:name w:val="footer"/>
    <w:basedOn w:val="Normal"/>
    <w:link w:val="FooterChar"/>
    <w:uiPriority w:val="99"/>
    <w:unhideWhenUsed/>
    <w:rsid w:val="0084667F"/>
    <w:pPr>
      <w:tabs>
        <w:tab w:val="center" w:pos="4680"/>
        <w:tab w:val="right" w:pos="9360"/>
      </w:tabs>
    </w:pPr>
  </w:style>
  <w:style w:type="character" w:customStyle="1" w:styleId="FooterChar">
    <w:name w:val="Footer Char"/>
    <w:basedOn w:val="DefaultParagraphFont"/>
    <w:link w:val="Footer"/>
    <w:uiPriority w:val="99"/>
    <w:rsid w:val="0084667F"/>
    <w:rPr>
      <w:rFonts w:ascii="Cambria" w:eastAsia="MS ??" w:hAnsi="Cambria" w:cs="Cambria"/>
      <w:sz w:val="24"/>
      <w:szCs w:val="24"/>
    </w:rPr>
  </w:style>
</w:styles>
</file>

<file path=word/webSettings.xml><?xml version="1.0" encoding="utf-8"?>
<w:webSettings xmlns:r="http://schemas.openxmlformats.org/officeDocument/2006/relationships" xmlns:w="http://schemas.openxmlformats.org/wordprocessingml/2006/main">
  <w:divs>
    <w:div w:id="853618211">
      <w:bodyDiv w:val="1"/>
      <w:marLeft w:val="0"/>
      <w:marRight w:val="0"/>
      <w:marTop w:val="0"/>
      <w:marBottom w:val="0"/>
      <w:divBdr>
        <w:top w:val="none" w:sz="0" w:space="0" w:color="auto"/>
        <w:left w:val="none" w:sz="0" w:space="0" w:color="auto"/>
        <w:bottom w:val="none" w:sz="0" w:space="0" w:color="auto"/>
        <w:right w:val="none" w:sz="0" w:space="0" w:color="auto"/>
      </w:divBdr>
      <w:divsChild>
        <w:div w:id="1328706129">
          <w:marLeft w:val="0"/>
          <w:marRight w:val="0"/>
          <w:marTop w:val="0"/>
          <w:marBottom w:val="0"/>
          <w:divBdr>
            <w:top w:val="none" w:sz="0" w:space="0" w:color="auto"/>
            <w:left w:val="none" w:sz="0" w:space="0" w:color="auto"/>
            <w:bottom w:val="none" w:sz="0" w:space="0" w:color="auto"/>
            <w:right w:val="none" w:sz="0" w:space="0" w:color="auto"/>
          </w:divBdr>
          <w:divsChild>
            <w:div w:id="1493914972">
              <w:marLeft w:val="0"/>
              <w:marRight w:val="0"/>
              <w:marTop w:val="0"/>
              <w:marBottom w:val="0"/>
              <w:divBdr>
                <w:top w:val="none" w:sz="0" w:space="0" w:color="auto"/>
                <w:left w:val="none" w:sz="0" w:space="0" w:color="auto"/>
                <w:bottom w:val="none" w:sz="0" w:space="0" w:color="auto"/>
                <w:right w:val="none" w:sz="0" w:space="0" w:color="auto"/>
              </w:divBdr>
              <w:divsChild>
                <w:div w:id="1014039815">
                  <w:marLeft w:val="0"/>
                  <w:marRight w:val="0"/>
                  <w:marTop w:val="0"/>
                  <w:marBottom w:val="0"/>
                  <w:divBdr>
                    <w:top w:val="none" w:sz="0" w:space="0" w:color="auto"/>
                    <w:left w:val="none" w:sz="0" w:space="0" w:color="auto"/>
                    <w:bottom w:val="none" w:sz="0" w:space="0" w:color="auto"/>
                    <w:right w:val="none" w:sz="0" w:space="0" w:color="auto"/>
                  </w:divBdr>
                  <w:divsChild>
                    <w:div w:id="8852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740036">
      <w:bodyDiv w:val="1"/>
      <w:marLeft w:val="0"/>
      <w:marRight w:val="0"/>
      <w:marTop w:val="0"/>
      <w:marBottom w:val="0"/>
      <w:divBdr>
        <w:top w:val="none" w:sz="0" w:space="0" w:color="auto"/>
        <w:left w:val="none" w:sz="0" w:space="0" w:color="auto"/>
        <w:bottom w:val="none" w:sz="0" w:space="0" w:color="auto"/>
        <w:right w:val="none" w:sz="0" w:space="0" w:color="auto"/>
      </w:divBdr>
      <w:divsChild>
        <w:div w:id="1234000878">
          <w:marLeft w:val="0"/>
          <w:marRight w:val="0"/>
          <w:marTop w:val="0"/>
          <w:marBottom w:val="0"/>
          <w:divBdr>
            <w:top w:val="none" w:sz="0" w:space="0" w:color="auto"/>
            <w:left w:val="none" w:sz="0" w:space="0" w:color="auto"/>
            <w:bottom w:val="none" w:sz="0" w:space="0" w:color="auto"/>
            <w:right w:val="none" w:sz="0" w:space="0" w:color="auto"/>
          </w:divBdr>
          <w:divsChild>
            <w:div w:id="712653229">
              <w:marLeft w:val="0"/>
              <w:marRight w:val="0"/>
              <w:marTop w:val="0"/>
              <w:marBottom w:val="0"/>
              <w:divBdr>
                <w:top w:val="none" w:sz="0" w:space="0" w:color="auto"/>
                <w:left w:val="none" w:sz="0" w:space="0" w:color="auto"/>
                <w:bottom w:val="none" w:sz="0" w:space="0" w:color="auto"/>
                <w:right w:val="none" w:sz="0" w:space="0" w:color="auto"/>
              </w:divBdr>
              <w:divsChild>
                <w:div w:id="1743992230">
                  <w:marLeft w:val="0"/>
                  <w:marRight w:val="0"/>
                  <w:marTop w:val="0"/>
                  <w:marBottom w:val="0"/>
                  <w:divBdr>
                    <w:top w:val="none" w:sz="0" w:space="0" w:color="auto"/>
                    <w:left w:val="none" w:sz="0" w:space="0" w:color="auto"/>
                    <w:bottom w:val="none" w:sz="0" w:space="0" w:color="auto"/>
                    <w:right w:val="none" w:sz="0" w:space="0" w:color="auto"/>
                  </w:divBdr>
                  <w:divsChild>
                    <w:div w:id="19367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343452">
      <w:bodyDiv w:val="1"/>
      <w:marLeft w:val="0"/>
      <w:marRight w:val="0"/>
      <w:marTop w:val="0"/>
      <w:marBottom w:val="0"/>
      <w:divBdr>
        <w:top w:val="none" w:sz="0" w:space="0" w:color="auto"/>
        <w:left w:val="none" w:sz="0" w:space="0" w:color="auto"/>
        <w:bottom w:val="none" w:sz="0" w:space="0" w:color="auto"/>
        <w:right w:val="none" w:sz="0" w:space="0" w:color="auto"/>
      </w:divBdr>
      <w:divsChild>
        <w:div w:id="928850249">
          <w:marLeft w:val="0"/>
          <w:marRight w:val="0"/>
          <w:marTop w:val="0"/>
          <w:marBottom w:val="0"/>
          <w:divBdr>
            <w:top w:val="none" w:sz="0" w:space="0" w:color="auto"/>
            <w:left w:val="none" w:sz="0" w:space="0" w:color="auto"/>
            <w:bottom w:val="none" w:sz="0" w:space="0" w:color="auto"/>
            <w:right w:val="none" w:sz="0" w:space="0" w:color="auto"/>
          </w:divBdr>
          <w:divsChild>
            <w:div w:id="1594820596">
              <w:marLeft w:val="0"/>
              <w:marRight w:val="0"/>
              <w:marTop w:val="0"/>
              <w:marBottom w:val="0"/>
              <w:divBdr>
                <w:top w:val="none" w:sz="0" w:space="0" w:color="auto"/>
                <w:left w:val="none" w:sz="0" w:space="0" w:color="auto"/>
                <w:bottom w:val="none" w:sz="0" w:space="0" w:color="auto"/>
                <w:right w:val="none" w:sz="0" w:space="0" w:color="auto"/>
              </w:divBdr>
              <w:divsChild>
                <w:div w:id="45185148">
                  <w:marLeft w:val="0"/>
                  <w:marRight w:val="0"/>
                  <w:marTop w:val="0"/>
                  <w:marBottom w:val="0"/>
                  <w:divBdr>
                    <w:top w:val="none" w:sz="0" w:space="0" w:color="auto"/>
                    <w:left w:val="none" w:sz="0" w:space="0" w:color="auto"/>
                    <w:bottom w:val="none" w:sz="0" w:space="0" w:color="auto"/>
                    <w:right w:val="none" w:sz="0" w:space="0" w:color="auto"/>
                  </w:divBdr>
                  <w:divsChild>
                    <w:div w:id="15689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bi.nlm.nih.gov/pubmed/1248701" TargetMode="External"/><Relationship Id="rId21" Type="http://schemas.openxmlformats.org/officeDocument/2006/relationships/hyperlink" Target="http://en.wikipedia.org/wiki/Remission" TargetMode="External"/><Relationship Id="rId22" Type="http://schemas.openxmlformats.org/officeDocument/2006/relationships/hyperlink" Target="https://vpn.ucsf.edu/,DanaInfo=www.ncbi.nlm.nih.gov+pubmed?term=%22Irvine%20EJ%22%5BAuthor%5D" TargetMode="External"/><Relationship Id="rId23" Type="http://schemas.openxmlformats.org/officeDocument/2006/relationships/hyperlink" Target="https://vpn.ucsf.edu/,DanaInfo=www.ncbi.nlm.nih.gov+pubmed?term=%22Zhou%20Q%22%5BAuthor%5D" TargetMode="External"/><Relationship Id="rId24" Type="http://schemas.openxmlformats.org/officeDocument/2006/relationships/hyperlink" Target="https://vpn.ucsf.edu/,DanaInfo=www.ncbi.nlm.nih.gov+pubmed?term=%22Thompson%20AK%22%5BAuthor%5D" TargetMode="External"/><Relationship Id="rId25" Type="http://schemas.openxmlformats.org/officeDocument/2006/relationships/hyperlink" Target="https://vpn.ucsf.edu/pubmed/,DanaInfo=www.ncbi.nlm.nih.gov+8759664" TargetMode="External"/><Relationship Id="rId26" Type="http://schemas.openxmlformats.org/officeDocument/2006/relationships/hyperlink" Target="http://www.ncbi.nlm.nih.gov/pubmed/10232622" TargetMode="External"/><Relationship Id="rId27" Type="http://schemas.openxmlformats.org/officeDocument/2006/relationships/hyperlink" Target="http://www.ncbi.nlm.nih.gov/pubmed/11439958" TargetMode="External"/><Relationship Id="rId28" Type="http://schemas.openxmlformats.org/officeDocument/2006/relationships/hyperlink" Target="http://latimesblogs.latimes.com/booster_shots/2010/04/supplements-guru-sues-over-his-own-product.html" TargetMode="External"/><Relationship Id="rId29" Type="http://schemas.openxmlformats.org/officeDocument/2006/relationships/hyperlink" Target="http://www.ncbi.nlm.nih.gov/pubmed/18689406"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ncbi.nlm.nih.gov/pubmed/18844846" TargetMode="External"/><Relationship Id="rId31" Type="http://schemas.openxmlformats.org/officeDocument/2006/relationships/hyperlink" Target="http://www.ncbi.nlm.nih.gov/pubmed/18290725" TargetMode="External"/><Relationship Id="rId32" Type="http://schemas.openxmlformats.org/officeDocument/2006/relationships/hyperlink" Target="http://www.ncbi.nlm.nih.gov/pubmed/16549491" TargetMode="External"/><Relationship Id="rId9" Type="http://schemas.openxmlformats.org/officeDocument/2006/relationships/image" Target="media/image2.jpeg"/><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http://www.cancer.gov/images/Documents/5fca4dc5-b6a7-4272-be96-b489f23022e5/downarrow.gif" TargetMode="External"/><Relationship Id="rId33" Type="http://schemas.openxmlformats.org/officeDocument/2006/relationships/hyperlink" Target="http://ods.od.nih.gov/factsheets/vitamind/" TargetMode="External"/><Relationship Id="rId34" Type="http://schemas.openxmlformats.org/officeDocument/2006/relationships/hyperlink" Target="http://www.ncbi.nlm.nih.gov/pubmed/20965147" TargetMode="Externa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image" Target="http://www.cancer.gov/images/Documents/5fca4dc5-b6a7-4272-be96-b489f23022e5/varrows.jpg" TargetMode="External"/><Relationship Id="rId11" Type="http://schemas.openxmlformats.org/officeDocument/2006/relationships/hyperlink" Target="http://www.vitamindcouncil.org/mod_cms/glossary/view_list.aspx?l=H"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https://vpn.ucsf.edu/,DanaInfo=www.ncbi.nlm.nih.gov+pubmed?term=%22Irvine%20EJ%22%5BAuthor%5D" TargetMode="External"/><Relationship Id="rId16" Type="http://schemas.openxmlformats.org/officeDocument/2006/relationships/hyperlink" Target="https://vpn.ucsf.edu/,DanaInfo=www.ncbi.nlm.nih.gov+pubmed?term=%22Zhou%20Q%22%5BAuthor%5D" TargetMode="External"/><Relationship Id="rId17" Type="http://schemas.openxmlformats.org/officeDocument/2006/relationships/hyperlink" Target="https://vpn.ucsf.edu/,DanaInfo=www.ncbi.nlm.nih.gov+pubmed?term=%22Thompson%20AK%22%5BAuthor%5D" TargetMode="External"/><Relationship Id="rId18" Type="http://schemas.openxmlformats.org/officeDocument/2006/relationships/hyperlink" Target="https://vpn.ucsf.edu/pubmed/,DanaInfo=www.ncbi.nlm.nih.gov+8759664" TargetMode="External"/><Relationship Id="rId19" Type="http://schemas.openxmlformats.org/officeDocument/2006/relationships/hyperlink" Target="http://en.wikipedia.org/wiki/PubMed_Identifier" TargetMode="External"/><Relationship Id="rId37" Type="http://schemas.openxmlformats.org/officeDocument/2006/relationships/theme" Target="theme/theme1.xml"/><Relationship Id="rId3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14</Pages>
  <Words>3891</Words>
  <Characters>22182</Characters>
  <Application>Microsoft Macintosh Word</Application>
  <DocSecurity>0</DocSecurity>
  <Lines>184</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jagrati</dc:creator>
  <cp:lastModifiedBy>Jagrati Mathur</cp:lastModifiedBy>
  <cp:revision>41</cp:revision>
  <dcterms:created xsi:type="dcterms:W3CDTF">2012-04-11T13:56:00Z</dcterms:created>
  <dcterms:modified xsi:type="dcterms:W3CDTF">2017-02-03T22:11:00Z</dcterms:modified>
</cp:coreProperties>
</file>