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CE" w:rsidRPr="00D01ECE" w:rsidRDefault="00D01ECE" w:rsidP="00D01ECE">
      <w:pPr>
        <w:rPr>
          <w:b/>
          <w:iCs/>
          <w:lang w:val="en-US"/>
        </w:rPr>
      </w:pPr>
      <w:r w:rsidRPr="00D01ECE">
        <w:rPr>
          <w:b/>
          <w:iCs/>
          <w:lang w:val="en-US"/>
        </w:rPr>
        <w:t xml:space="preserve">Table S2 </w:t>
      </w:r>
    </w:p>
    <w:p w:rsidR="00D01ECE" w:rsidRPr="00D01ECE" w:rsidRDefault="00D01ECE" w:rsidP="00D01ECE">
      <w:pPr>
        <w:rPr>
          <w:iCs/>
        </w:rPr>
      </w:pPr>
      <w:r w:rsidRPr="00D01ECE">
        <w:rPr>
          <w:iCs/>
        </w:rPr>
        <w:t xml:space="preserve">Results of the principal component analysis (PCA), showing the factor loadings of each principal component (PC) for the </w:t>
      </w:r>
      <w:proofErr w:type="spellStart"/>
      <w:r w:rsidRPr="00D01ECE">
        <w:rPr>
          <w:iCs/>
        </w:rPr>
        <w:t>lipophilic</w:t>
      </w:r>
      <w:proofErr w:type="spellEnd"/>
      <w:r w:rsidRPr="00D01ECE">
        <w:rPr>
          <w:iCs/>
        </w:rPr>
        <w:t xml:space="preserve"> compounds. PCAs were run prior to the development of the models to explore lipid functionality in </w:t>
      </w:r>
      <w:proofErr w:type="spellStart"/>
      <w:r w:rsidRPr="00D01ECE">
        <w:rPr>
          <w:iCs/>
        </w:rPr>
        <w:t>intraspecific</w:t>
      </w:r>
      <w:proofErr w:type="spellEnd"/>
      <w:r w:rsidRPr="00D01ECE">
        <w:rPr>
          <w:iCs/>
        </w:rPr>
        <w:t xml:space="preserve"> communication of marine iguanas, in order to investigate the </w:t>
      </w:r>
      <w:proofErr w:type="spellStart"/>
      <w:r w:rsidRPr="00D01ECE">
        <w:rPr>
          <w:iCs/>
        </w:rPr>
        <w:t>multicollinearity</w:t>
      </w:r>
      <w:proofErr w:type="spellEnd"/>
      <w:r w:rsidRPr="00D01ECE">
        <w:rPr>
          <w:iCs/>
        </w:rPr>
        <w:t xml:space="preserve"> among independent variables. Values in bold show the higher values of coefficient loadings that indicate those chemical compounds that were selected as independent variables for subsequent model development. </w:t>
      </w:r>
    </w:p>
    <w:p w:rsidR="00D01ECE" w:rsidRPr="00D01ECE" w:rsidRDefault="00D01ECE" w:rsidP="00D01ECE">
      <w:pPr>
        <w:rPr>
          <w:iCs/>
          <w:lang w:val="en-US"/>
        </w:rPr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652"/>
        <w:gridCol w:w="1276"/>
        <w:gridCol w:w="1276"/>
        <w:gridCol w:w="1275"/>
        <w:gridCol w:w="1137"/>
      </w:tblGrid>
      <w:tr w:rsidR="00D01ECE" w:rsidRPr="00D01ECE" w:rsidTr="00510F41">
        <w:trPr>
          <w:trHeight w:val="22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i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iCs/>
                <w:lang w:val="en-US"/>
              </w:rPr>
            </w:pPr>
            <w:r w:rsidRPr="00D01ECE">
              <w:rPr>
                <w:iCs/>
                <w:lang w:val="en-US"/>
              </w:rPr>
              <w:t>PC1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iCs/>
                <w:lang w:val="en-US"/>
              </w:rPr>
            </w:pPr>
            <w:r w:rsidRPr="00D01ECE">
              <w:rPr>
                <w:iCs/>
                <w:lang w:val="en-US"/>
              </w:rPr>
              <w:t>PC2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iCs/>
                <w:lang w:val="en-US"/>
              </w:rPr>
            </w:pPr>
            <w:r w:rsidRPr="00D01ECE">
              <w:rPr>
                <w:iCs/>
                <w:lang w:val="en-US"/>
              </w:rPr>
              <w:t>PC3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iCs/>
                <w:lang w:val="en-US"/>
              </w:rPr>
            </w:pPr>
            <w:r w:rsidRPr="00D01ECE">
              <w:rPr>
                <w:iCs/>
                <w:lang w:val="en-US"/>
              </w:rPr>
              <w:t>PC4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  <w:tcBorders>
              <w:top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proofErr w:type="spellStart"/>
            <w:r w:rsidRPr="00D01ECE">
              <w:rPr>
                <w:lang w:val="en-US"/>
              </w:rPr>
              <w:t>Hexadecanoic</w:t>
            </w:r>
            <w:proofErr w:type="spellEnd"/>
            <w:r w:rsidRPr="00D01ECE">
              <w:rPr>
                <w:lang w:val="en-US"/>
              </w:rPr>
              <w:t xml:space="preserve"> acid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1ECE" w:rsidRPr="00D01ECE" w:rsidRDefault="00D01ECE" w:rsidP="00D01ECE">
            <w:pPr>
              <w:rPr>
                <w:b/>
                <w:lang w:val="en-US"/>
              </w:rPr>
            </w:pPr>
            <w:r w:rsidRPr="00D01ECE">
              <w:rPr>
                <w:b/>
                <w:lang w:val="en-US"/>
              </w:rPr>
              <w:t>0.90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0.11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0.04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9-Octadecenoic acid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0.25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0.31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0.12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b/>
                <w:lang w:val="en-US"/>
              </w:rPr>
            </w:pPr>
            <w:r w:rsidRPr="00D01ECE">
              <w:rPr>
                <w:b/>
                <w:lang w:val="en-US"/>
              </w:rPr>
              <w:t>-0.79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11-Octadecenoic acid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0.27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-0.01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0.50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0.53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proofErr w:type="spellStart"/>
            <w:r w:rsidRPr="00D01ECE">
              <w:rPr>
                <w:lang w:val="en-US"/>
              </w:rPr>
              <w:t>Octadecanoic</w:t>
            </w:r>
            <w:proofErr w:type="spellEnd"/>
            <w:r w:rsidRPr="00D01ECE">
              <w:rPr>
                <w:lang w:val="en-US"/>
              </w:rPr>
              <w:t xml:space="preserve"> acid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0.23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0.80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-0.31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0.14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5,8,11,14-Eicosatetraenoic acid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0.25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0.47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-0.21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-0.37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11-Eicosenoic acid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0.07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-0.04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b/>
                <w:lang w:val="en-US"/>
              </w:rPr>
            </w:pPr>
            <w:r w:rsidRPr="00D01ECE">
              <w:rPr>
                <w:b/>
                <w:lang w:val="en-US"/>
              </w:rPr>
              <w:t>0.89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-0.05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13-Eicosenoic acid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0.04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0.17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0.88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0.05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proofErr w:type="spellStart"/>
            <w:r w:rsidRPr="00D01ECE">
              <w:rPr>
                <w:lang w:val="en-US"/>
              </w:rPr>
              <w:t>Eicosanoic</w:t>
            </w:r>
            <w:proofErr w:type="spellEnd"/>
            <w:r w:rsidRPr="00D01ECE">
              <w:rPr>
                <w:lang w:val="en-US"/>
              </w:rPr>
              <w:t xml:space="preserve"> acid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0.23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0.39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0.06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0.76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proofErr w:type="spellStart"/>
            <w:r w:rsidRPr="00D01ECE">
              <w:rPr>
                <w:lang w:val="en-US"/>
              </w:rPr>
              <w:t>Docosanoic</w:t>
            </w:r>
            <w:proofErr w:type="spellEnd"/>
            <w:r w:rsidRPr="00D01ECE">
              <w:rPr>
                <w:lang w:val="en-US"/>
              </w:rPr>
              <w:t xml:space="preserve"> acid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-0.87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-0.04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-0.07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0.02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proofErr w:type="spellStart"/>
            <w:r w:rsidRPr="00D01ECE">
              <w:rPr>
                <w:lang w:val="en-US"/>
              </w:rPr>
              <w:t>Tetracosanoic</w:t>
            </w:r>
            <w:proofErr w:type="spellEnd"/>
            <w:r w:rsidRPr="00D01ECE">
              <w:rPr>
                <w:lang w:val="en-US"/>
              </w:rPr>
              <w:t xml:space="preserve"> acid 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b/>
                <w:lang w:val="en-US"/>
              </w:rPr>
            </w:pPr>
            <w:r w:rsidRPr="00D01ECE">
              <w:rPr>
                <w:b/>
                <w:lang w:val="en-US"/>
              </w:rPr>
              <w:t>-0.89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-0.01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-0.01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0.02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Cholesterol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0.17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-0.88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-0.28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0.15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</w:tcPr>
          <w:p w:rsidR="00D01ECE" w:rsidRPr="00D01ECE" w:rsidRDefault="00D01ECE" w:rsidP="00D01ECE">
            <w:pPr>
              <w:rPr>
                <w:lang w:val="en-US"/>
              </w:rPr>
            </w:pPr>
            <w:proofErr w:type="spellStart"/>
            <w:r w:rsidRPr="00D01ECE">
              <w:rPr>
                <w:lang w:val="en-US"/>
              </w:rPr>
              <w:t>Cholestanol</w:t>
            </w:r>
            <w:proofErr w:type="spellEnd"/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-0.78</w:t>
            </w:r>
          </w:p>
        </w:tc>
        <w:tc>
          <w:tcPr>
            <w:tcW w:w="1276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-0.29</w:t>
            </w:r>
          </w:p>
        </w:tc>
        <w:tc>
          <w:tcPr>
            <w:tcW w:w="1275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0.08</w:t>
            </w:r>
          </w:p>
        </w:tc>
        <w:tc>
          <w:tcPr>
            <w:tcW w:w="1137" w:type="dxa"/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-0.14</w:t>
            </w:r>
          </w:p>
        </w:tc>
      </w:tr>
      <w:tr w:rsidR="00D01ECE" w:rsidRPr="00D01ECE" w:rsidTr="00510F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652" w:type="dxa"/>
            <w:tcBorders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proofErr w:type="spellStart"/>
            <w:r w:rsidRPr="00D01ECE">
              <w:rPr>
                <w:lang w:val="en-US"/>
              </w:rPr>
              <w:t>Cholestanone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-0.33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01ECE" w:rsidRPr="00D01ECE" w:rsidRDefault="00D01ECE" w:rsidP="00D01ECE">
            <w:pPr>
              <w:rPr>
                <w:lang w:val="en-US"/>
              </w:rPr>
            </w:pPr>
            <w:r w:rsidRPr="00D01ECE">
              <w:rPr>
                <w:lang w:val="en-US"/>
              </w:rPr>
              <w:t>0.04</w:t>
            </w:r>
          </w:p>
        </w:tc>
      </w:tr>
    </w:tbl>
    <w:p w:rsidR="00D01ECE" w:rsidRPr="00D01ECE" w:rsidRDefault="00D01ECE" w:rsidP="00D01ECE">
      <w:pPr>
        <w:rPr>
          <w:iCs/>
          <w:lang w:val="en-US"/>
        </w:rPr>
      </w:pPr>
      <w:r w:rsidRPr="00D01ECE">
        <w:rPr>
          <w:iCs/>
          <w:lang w:val="en-US"/>
        </w:rPr>
        <w:t xml:space="preserve"> </w:t>
      </w:r>
    </w:p>
    <w:p w:rsidR="00D01ECE" w:rsidRPr="00D01ECE" w:rsidRDefault="00D01ECE" w:rsidP="00D01ECE">
      <w:r w:rsidRPr="00D01ECE">
        <w:t xml:space="preserve"> </w:t>
      </w:r>
    </w:p>
    <w:p w:rsidR="00595FB8" w:rsidRPr="00D01ECE" w:rsidRDefault="00595FB8" w:rsidP="00D01ECE"/>
    <w:sectPr w:rsidR="00595FB8" w:rsidRPr="00D01ECE" w:rsidSect="00517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8E7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0CCCE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FEC"/>
    <w:rsid w:val="000B305D"/>
    <w:rsid w:val="00242374"/>
    <w:rsid w:val="002E796C"/>
    <w:rsid w:val="00381FEC"/>
    <w:rsid w:val="00517BFD"/>
    <w:rsid w:val="00595FB8"/>
    <w:rsid w:val="00886625"/>
    <w:rsid w:val="009B7A45"/>
    <w:rsid w:val="00D01ECE"/>
    <w:rsid w:val="00E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B8"/>
    <w:rPr>
      <w:rFonts w:ascii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886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6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6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66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styleId="Ttulo5">
    <w:name w:val="heading 5"/>
    <w:basedOn w:val="Normal"/>
    <w:link w:val="Ttulo5Car"/>
    <w:uiPriority w:val="9"/>
    <w:qFormat/>
    <w:rsid w:val="0088662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662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8662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8662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86625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866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86625"/>
    <w:pPr>
      <w:spacing w:after="60"/>
      <w:jc w:val="center"/>
      <w:outlineLvl w:val="1"/>
    </w:pPr>
    <w:rPr>
      <w:rFonts w:ascii="Cambria" w:eastAsia="Times New Roman" w:hAnsi="Cambria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86625"/>
    <w:rPr>
      <w:rFonts w:ascii="Cambria" w:eastAsia="Times New Roman" w:hAnsi="Cambria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86625"/>
    <w:rPr>
      <w:i/>
      <w:iCs/>
    </w:rPr>
  </w:style>
  <w:style w:type="table" w:styleId="Tablaconcuadrcula">
    <w:name w:val="Table Grid"/>
    <w:basedOn w:val="Tablanormal"/>
    <w:uiPriority w:val="59"/>
    <w:rsid w:val="0059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FB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FB8"/>
    <w:rPr>
      <w:rFonts w:ascii="Tahoma" w:hAnsi="Tahoma"/>
      <w:sz w:val="16"/>
      <w:szCs w:val="16"/>
      <w:lang w:val="en-GB"/>
    </w:rPr>
  </w:style>
  <w:style w:type="character" w:styleId="Refdecomentario">
    <w:name w:val="annotation reference"/>
    <w:uiPriority w:val="99"/>
    <w:semiHidden/>
    <w:unhideWhenUsed/>
    <w:rsid w:val="00595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FB8"/>
    <w:rPr>
      <w:rFonts w:ascii="Times New Roman" w:hAnsi="Times New Roman"/>
      <w:lang w:val="en-GB"/>
    </w:rPr>
  </w:style>
  <w:style w:type="character" w:styleId="Hipervnculo">
    <w:name w:val="Hyperlink"/>
    <w:uiPriority w:val="99"/>
    <w:unhideWhenUsed/>
    <w:rsid w:val="00595FB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5FB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FB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95F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FB8"/>
    <w:rPr>
      <w:rFonts w:ascii="Times New Roman" w:hAnsi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95F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B8"/>
    <w:rPr>
      <w:rFonts w:ascii="Times New Roman" w:hAnsi="Times New Roman"/>
      <w:sz w:val="24"/>
      <w:szCs w:val="24"/>
      <w:lang w:val="en-GB"/>
    </w:rPr>
  </w:style>
  <w:style w:type="paragraph" w:styleId="Listaconvietas">
    <w:name w:val="List Bullet"/>
    <w:basedOn w:val="Normal"/>
    <w:uiPriority w:val="99"/>
    <w:unhideWhenUsed/>
    <w:rsid w:val="00595FB8"/>
    <w:pPr>
      <w:numPr>
        <w:numId w:val="1"/>
      </w:numPr>
      <w:contextualSpacing/>
    </w:pPr>
  </w:style>
  <w:style w:type="character" w:customStyle="1" w:styleId="current-selection">
    <w:name w:val="current-selection"/>
    <w:basedOn w:val="Fuentedeprrafopredeter"/>
    <w:rsid w:val="00595FB8"/>
  </w:style>
  <w:style w:type="character" w:customStyle="1" w:styleId="a">
    <w:name w:val="_"/>
    <w:basedOn w:val="Fuentedeprrafopredeter"/>
    <w:rsid w:val="00595FB8"/>
  </w:style>
  <w:style w:type="character" w:styleId="Nmerodelnea">
    <w:name w:val="line number"/>
    <w:basedOn w:val="Fuentedeprrafopredeter"/>
    <w:uiPriority w:val="99"/>
    <w:semiHidden/>
    <w:unhideWhenUsed/>
    <w:rsid w:val="00595FB8"/>
  </w:style>
  <w:style w:type="character" w:customStyle="1" w:styleId="shorttext">
    <w:name w:val="short_text"/>
    <w:rsid w:val="0059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Ibáñez</dc:creator>
  <cp:lastModifiedBy>Alex Ibáñez</cp:lastModifiedBy>
  <cp:revision>2</cp:revision>
  <dcterms:created xsi:type="dcterms:W3CDTF">2017-07-10T08:27:00Z</dcterms:created>
  <dcterms:modified xsi:type="dcterms:W3CDTF">2017-07-10T08:27:00Z</dcterms:modified>
</cp:coreProperties>
</file>